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C18C8" w14:textId="77777777" w:rsidR="00622AD9" w:rsidRPr="00562548" w:rsidRDefault="0062729E" w:rsidP="00EF3DD9">
      <w:pPr>
        <w:pStyle w:val="Heading1"/>
      </w:pPr>
      <w:bookmarkStart w:id="0" w:name="_Toc384126086"/>
      <w:r>
        <w:t>Finance</w:t>
      </w:r>
      <w:bookmarkEnd w:id="0"/>
    </w:p>
    <w:p w14:paraId="5C2C18C9" w14:textId="77777777" w:rsidR="00562548" w:rsidRPr="00562548" w:rsidRDefault="00562548" w:rsidP="00EF3DD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8"/>
        <w:gridCol w:w="6724"/>
      </w:tblGrid>
      <w:tr w:rsidR="00562548" w:rsidRPr="00562548" w14:paraId="5C2C18CC" w14:textId="77777777" w:rsidTr="00EF3DD9">
        <w:tc>
          <w:tcPr>
            <w:tcW w:w="2518" w:type="dxa"/>
            <w:vAlign w:val="center"/>
          </w:tcPr>
          <w:p w14:paraId="5C2C18CA" w14:textId="77777777" w:rsidR="00562548" w:rsidRPr="00EF3DD9" w:rsidRDefault="00562548" w:rsidP="00EF3DD9">
            <w:pPr>
              <w:pStyle w:val="Tableheadings"/>
            </w:pPr>
            <w:r w:rsidRPr="00EF3DD9">
              <w:t>Document title:</w:t>
            </w:r>
          </w:p>
        </w:tc>
        <w:tc>
          <w:tcPr>
            <w:tcW w:w="6724" w:type="dxa"/>
            <w:vAlign w:val="center"/>
          </w:tcPr>
          <w:p w14:paraId="5C2C18CB" w14:textId="2EEE680A" w:rsidR="00562548" w:rsidRPr="00562548" w:rsidRDefault="0020526B" w:rsidP="00EF3DD9">
            <w:r>
              <w:t xml:space="preserve">Finance 001 </w:t>
            </w:r>
            <w:r w:rsidR="00423573">
              <w:t>Accounts Payable Policy</w:t>
            </w:r>
          </w:p>
        </w:tc>
      </w:tr>
      <w:tr w:rsidR="00562548" w:rsidRPr="00562548" w14:paraId="5C2C18CF" w14:textId="77777777" w:rsidTr="00EF3DD9">
        <w:tc>
          <w:tcPr>
            <w:tcW w:w="2518" w:type="dxa"/>
            <w:vAlign w:val="center"/>
          </w:tcPr>
          <w:p w14:paraId="5C2C18CD" w14:textId="77777777" w:rsidR="00562548" w:rsidRPr="00EF3DD9" w:rsidRDefault="00562548" w:rsidP="00EF3DD9">
            <w:pPr>
              <w:pStyle w:val="Tableheadings"/>
            </w:pPr>
            <w:r w:rsidRPr="00EF3DD9">
              <w:t>Document Filename:</w:t>
            </w:r>
          </w:p>
        </w:tc>
        <w:tc>
          <w:tcPr>
            <w:tcW w:w="6724" w:type="dxa"/>
            <w:vAlign w:val="center"/>
          </w:tcPr>
          <w:p w14:paraId="5C2C18CE" w14:textId="44A6B10A" w:rsidR="00562548" w:rsidRPr="00562548" w:rsidRDefault="0020526B" w:rsidP="00423573">
            <w:r>
              <w:t>Finance 001 Accounts Payable Policy</w:t>
            </w:r>
            <w:bookmarkStart w:id="1" w:name="_GoBack"/>
            <w:bookmarkEnd w:id="1"/>
          </w:p>
        </w:tc>
      </w:tr>
      <w:tr w:rsidR="00562548" w:rsidRPr="00562548" w14:paraId="5C2C18D2" w14:textId="77777777" w:rsidTr="00EF3DD9">
        <w:tc>
          <w:tcPr>
            <w:tcW w:w="2518" w:type="dxa"/>
            <w:vAlign w:val="center"/>
          </w:tcPr>
          <w:p w14:paraId="5C2C18D0" w14:textId="77777777" w:rsidR="00562548" w:rsidRPr="00EF3DD9" w:rsidRDefault="00562548" w:rsidP="00EF3DD9">
            <w:pPr>
              <w:pStyle w:val="Tableheadings"/>
            </w:pPr>
            <w:r w:rsidRPr="00EF3DD9">
              <w:t>Document number:</w:t>
            </w:r>
          </w:p>
        </w:tc>
        <w:tc>
          <w:tcPr>
            <w:tcW w:w="6724" w:type="dxa"/>
            <w:vAlign w:val="center"/>
          </w:tcPr>
          <w:p w14:paraId="5C2C18D1" w14:textId="77777777" w:rsidR="00562548" w:rsidRPr="00562548" w:rsidRDefault="00423573" w:rsidP="00EF3DD9">
            <w:r>
              <w:t>001</w:t>
            </w:r>
          </w:p>
        </w:tc>
      </w:tr>
      <w:tr w:rsidR="00562548" w:rsidRPr="00562548" w14:paraId="5C2C18D5" w14:textId="77777777" w:rsidTr="00EF3DD9">
        <w:tc>
          <w:tcPr>
            <w:tcW w:w="2518" w:type="dxa"/>
            <w:vAlign w:val="center"/>
          </w:tcPr>
          <w:p w14:paraId="5C2C18D3" w14:textId="77777777" w:rsidR="00562548" w:rsidRPr="00EF3DD9" w:rsidRDefault="00562548" w:rsidP="00EF3DD9">
            <w:pPr>
              <w:pStyle w:val="Tableheadings"/>
            </w:pPr>
            <w:r w:rsidRPr="00EF3DD9">
              <w:t>Author:</w:t>
            </w:r>
          </w:p>
        </w:tc>
        <w:tc>
          <w:tcPr>
            <w:tcW w:w="6724" w:type="dxa"/>
            <w:vAlign w:val="center"/>
          </w:tcPr>
          <w:p w14:paraId="5C2C18D4" w14:textId="77777777" w:rsidR="00562548" w:rsidRPr="00562548" w:rsidRDefault="00423573" w:rsidP="00EF3DD9">
            <w:r>
              <w:t>Sarabjit Birdi</w:t>
            </w:r>
          </w:p>
        </w:tc>
      </w:tr>
      <w:tr w:rsidR="00562548" w:rsidRPr="00562548" w14:paraId="5C2C18D8" w14:textId="77777777" w:rsidTr="00EF3DD9">
        <w:tc>
          <w:tcPr>
            <w:tcW w:w="2518" w:type="dxa"/>
            <w:vAlign w:val="center"/>
          </w:tcPr>
          <w:p w14:paraId="5C2C18D6" w14:textId="77777777" w:rsidR="00562548" w:rsidRPr="00EF3DD9" w:rsidRDefault="00562548" w:rsidP="00EF3DD9">
            <w:pPr>
              <w:pStyle w:val="Tableheadings"/>
            </w:pPr>
            <w:r w:rsidRPr="00EF3DD9">
              <w:t>Version:</w:t>
            </w:r>
          </w:p>
        </w:tc>
        <w:tc>
          <w:tcPr>
            <w:tcW w:w="6724" w:type="dxa"/>
            <w:vAlign w:val="center"/>
          </w:tcPr>
          <w:p w14:paraId="5C2C18D7" w14:textId="77777777" w:rsidR="00562548" w:rsidRPr="00562548" w:rsidRDefault="00562548" w:rsidP="00EF3DD9">
            <w:r w:rsidRPr="00562548">
              <w:t>1.0</w:t>
            </w:r>
          </w:p>
        </w:tc>
      </w:tr>
      <w:tr w:rsidR="00562548" w:rsidRPr="00562548" w14:paraId="5C2C18DB" w14:textId="77777777" w:rsidTr="00EF3DD9">
        <w:tc>
          <w:tcPr>
            <w:tcW w:w="2518" w:type="dxa"/>
            <w:vAlign w:val="center"/>
          </w:tcPr>
          <w:p w14:paraId="5C2C18D9" w14:textId="77777777" w:rsidR="00562548" w:rsidRPr="00EF3DD9" w:rsidRDefault="00562548" w:rsidP="00EF3DD9">
            <w:pPr>
              <w:pStyle w:val="Tableheadings"/>
            </w:pPr>
            <w:r w:rsidRPr="00EF3DD9">
              <w:t>Saved:</w:t>
            </w:r>
          </w:p>
        </w:tc>
        <w:tc>
          <w:tcPr>
            <w:tcW w:w="6724" w:type="dxa"/>
            <w:vAlign w:val="center"/>
          </w:tcPr>
          <w:p w14:paraId="5C2C18DA" w14:textId="77777777" w:rsidR="00562548" w:rsidRPr="00562548" w:rsidRDefault="004C31DA" w:rsidP="00423573">
            <w:r>
              <w:t>29 May</w:t>
            </w:r>
            <w:r w:rsidR="00423573">
              <w:t xml:space="preserve"> 2014</w:t>
            </w:r>
          </w:p>
        </w:tc>
      </w:tr>
    </w:tbl>
    <w:p w14:paraId="5C2C18DC" w14:textId="77777777" w:rsidR="00562548" w:rsidRDefault="00562548" w:rsidP="00EF3DD9"/>
    <w:p w14:paraId="5C2C18DD" w14:textId="77777777" w:rsidR="00EF3DD9" w:rsidRPr="00562548" w:rsidRDefault="00EF3DD9" w:rsidP="00EF3DD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35"/>
        <w:gridCol w:w="7007"/>
      </w:tblGrid>
      <w:tr w:rsidR="00562548" w:rsidRPr="00562548" w14:paraId="5C2C18DF" w14:textId="77777777" w:rsidTr="00EF3DD9">
        <w:tc>
          <w:tcPr>
            <w:tcW w:w="9242" w:type="dxa"/>
            <w:gridSpan w:val="2"/>
          </w:tcPr>
          <w:p w14:paraId="5C2C18DE" w14:textId="77777777" w:rsidR="00562548" w:rsidRPr="00562548" w:rsidRDefault="00562548" w:rsidP="00EF3DD9">
            <w:pPr>
              <w:pStyle w:val="Tableheadings"/>
            </w:pPr>
            <w:r w:rsidRPr="00562548">
              <w:t xml:space="preserve">Distribution </w:t>
            </w:r>
            <w:r>
              <w:t>L</w:t>
            </w:r>
            <w:r w:rsidRPr="00562548">
              <w:t>ist</w:t>
            </w:r>
            <w:r>
              <w:t>:</w:t>
            </w:r>
          </w:p>
        </w:tc>
      </w:tr>
      <w:tr w:rsidR="00562548" w:rsidRPr="00562548" w14:paraId="5C2C18E2" w14:textId="77777777" w:rsidTr="00EF3DD9">
        <w:tc>
          <w:tcPr>
            <w:tcW w:w="2235" w:type="dxa"/>
          </w:tcPr>
          <w:p w14:paraId="5C2C18E0" w14:textId="77777777" w:rsidR="00562548" w:rsidRPr="00562548" w:rsidRDefault="00562548" w:rsidP="00EF3DD9">
            <w:pPr>
              <w:pStyle w:val="Tableheadings"/>
            </w:pPr>
            <w:r w:rsidRPr="00562548">
              <w:t>Area</w:t>
            </w:r>
          </w:p>
        </w:tc>
        <w:tc>
          <w:tcPr>
            <w:tcW w:w="7007" w:type="dxa"/>
          </w:tcPr>
          <w:p w14:paraId="5C2C18E1" w14:textId="77777777" w:rsidR="00562548" w:rsidRPr="00562548" w:rsidRDefault="00562548" w:rsidP="00EF3DD9">
            <w:pPr>
              <w:pStyle w:val="Tableheadings"/>
            </w:pPr>
            <w:r w:rsidRPr="00562548">
              <w:t>Full Name</w:t>
            </w:r>
          </w:p>
        </w:tc>
      </w:tr>
      <w:tr w:rsidR="00562548" w14:paraId="5C2C18E5" w14:textId="77777777" w:rsidTr="00EF3DD9">
        <w:tc>
          <w:tcPr>
            <w:tcW w:w="2235" w:type="dxa"/>
          </w:tcPr>
          <w:p w14:paraId="5C2C18E3" w14:textId="77777777" w:rsidR="00562548" w:rsidRDefault="007A370D" w:rsidP="00EF3DD9">
            <w:proofErr w:type="spellStart"/>
            <w:r>
              <w:t>Colart</w:t>
            </w:r>
            <w:proofErr w:type="spellEnd"/>
            <w:r>
              <w:t xml:space="preserve"> Group</w:t>
            </w:r>
          </w:p>
        </w:tc>
        <w:tc>
          <w:tcPr>
            <w:tcW w:w="7007" w:type="dxa"/>
          </w:tcPr>
          <w:p w14:paraId="5C2C18E4" w14:textId="77777777" w:rsidR="00562548" w:rsidRDefault="005343E3" w:rsidP="00EF3DD9">
            <w:r>
              <w:t>Accounts Payable Policy</w:t>
            </w:r>
          </w:p>
        </w:tc>
      </w:tr>
      <w:tr w:rsidR="00562548" w14:paraId="5C2C18E8" w14:textId="77777777" w:rsidTr="00EF3DD9">
        <w:tc>
          <w:tcPr>
            <w:tcW w:w="2235" w:type="dxa"/>
          </w:tcPr>
          <w:p w14:paraId="5C2C18E6" w14:textId="77777777" w:rsidR="00562548" w:rsidRDefault="00562548" w:rsidP="00EF3DD9"/>
        </w:tc>
        <w:tc>
          <w:tcPr>
            <w:tcW w:w="7007" w:type="dxa"/>
          </w:tcPr>
          <w:p w14:paraId="5C2C18E7" w14:textId="77777777" w:rsidR="00562548" w:rsidRDefault="00562548" w:rsidP="00EF3DD9"/>
        </w:tc>
      </w:tr>
      <w:tr w:rsidR="00562548" w14:paraId="5C2C18EB" w14:textId="77777777" w:rsidTr="00EF3DD9">
        <w:tc>
          <w:tcPr>
            <w:tcW w:w="2235" w:type="dxa"/>
          </w:tcPr>
          <w:p w14:paraId="5C2C18E9" w14:textId="77777777" w:rsidR="00562548" w:rsidRDefault="00562548" w:rsidP="00EF3DD9"/>
        </w:tc>
        <w:tc>
          <w:tcPr>
            <w:tcW w:w="7007" w:type="dxa"/>
          </w:tcPr>
          <w:p w14:paraId="5C2C18EA" w14:textId="77777777" w:rsidR="00562548" w:rsidRDefault="00562548" w:rsidP="00EF3DD9"/>
        </w:tc>
      </w:tr>
    </w:tbl>
    <w:p w14:paraId="5C2C18EC" w14:textId="77777777" w:rsidR="00EF3DD9" w:rsidRDefault="00EF3DD9" w:rsidP="00EF3DD9">
      <w:pPr>
        <w:rPr>
          <w:rFonts w:cs="Arial"/>
          <w:bCs/>
        </w:rPr>
      </w:pPr>
    </w:p>
    <w:p w14:paraId="5C2C18ED" w14:textId="77777777" w:rsidR="00EF3DD9" w:rsidRDefault="00EF3DD9" w:rsidP="00EF3DD9">
      <w:pPr>
        <w:pStyle w:val="InstructionNote"/>
      </w:pPr>
    </w:p>
    <w:p w14:paraId="5C2C18EE" w14:textId="77777777" w:rsidR="00EF3DD9" w:rsidRPr="00EF3DD9" w:rsidRDefault="00EF3DD9" w:rsidP="00EF3DD9">
      <w:pPr>
        <w:pStyle w:val="InstructionNote"/>
      </w:pPr>
    </w:p>
    <w:tbl>
      <w:tblP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0A0" w:firstRow="1" w:lastRow="0" w:firstColumn="1" w:lastColumn="0" w:noHBand="0" w:noVBand="0"/>
      </w:tblPr>
      <w:tblGrid>
        <w:gridCol w:w="1242"/>
        <w:gridCol w:w="2410"/>
        <w:gridCol w:w="1559"/>
        <w:gridCol w:w="3969"/>
      </w:tblGrid>
      <w:tr w:rsidR="00EF3DD9" w:rsidRPr="00E77373" w14:paraId="5C2C18F0" w14:textId="77777777" w:rsidTr="00EF3DD9">
        <w:trPr>
          <w:cantSplit/>
          <w:tblHeader/>
        </w:trPr>
        <w:tc>
          <w:tcPr>
            <w:tcW w:w="9180" w:type="dxa"/>
            <w:gridSpan w:val="4"/>
            <w:shd w:val="clear" w:color="auto" w:fill="auto"/>
            <w:vAlign w:val="center"/>
          </w:tcPr>
          <w:p w14:paraId="5C2C18EF" w14:textId="77777777" w:rsidR="00EF3DD9" w:rsidRPr="00EF3DD9" w:rsidRDefault="00EF3DD9" w:rsidP="00EF3DD9">
            <w:pPr>
              <w:pStyle w:val="Tableheadings"/>
            </w:pPr>
            <w:r>
              <w:t>Change History</w:t>
            </w:r>
          </w:p>
        </w:tc>
      </w:tr>
      <w:tr w:rsidR="00EF3DD9" w:rsidRPr="00E77373" w14:paraId="5C2C18F5" w14:textId="77777777" w:rsidTr="00EF3DD9">
        <w:trPr>
          <w:cantSplit/>
          <w:tblHeader/>
        </w:trPr>
        <w:tc>
          <w:tcPr>
            <w:tcW w:w="1242" w:type="dxa"/>
            <w:shd w:val="clear" w:color="auto" w:fill="auto"/>
            <w:vAlign w:val="center"/>
          </w:tcPr>
          <w:p w14:paraId="5C2C18F1" w14:textId="77777777" w:rsidR="00EF3DD9" w:rsidRPr="00E77373" w:rsidRDefault="00EF3DD9" w:rsidP="00EF3DD9">
            <w:pPr>
              <w:pStyle w:val="Tableheadings"/>
            </w:pPr>
            <w:r w:rsidRPr="00E77373">
              <w:t>Version number</w:t>
            </w:r>
          </w:p>
        </w:tc>
        <w:tc>
          <w:tcPr>
            <w:tcW w:w="2410" w:type="dxa"/>
            <w:shd w:val="clear" w:color="auto" w:fill="auto"/>
            <w:vAlign w:val="center"/>
          </w:tcPr>
          <w:p w14:paraId="5C2C18F2" w14:textId="77777777" w:rsidR="00EF3DD9" w:rsidRPr="00E77373" w:rsidRDefault="00EF3DD9" w:rsidP="00EF3DD9">
            <w:pPr>
              <w:pStyle w:val="Tableheadings"/>
            </w:pPr>
            <w:r w:rsidRPr="00E77373">
              <w:t>Author</w:t>
            </w:r>
          </w:p>
        </w:tc>
        <w:tc>
          <w:tcPr>
            <w:tcW w:w="1559" w:type="dxa"/>
            <w:shd w:val="clear" w:color="auto" w:fill="auto"/>
            <w:vAlign w:val="center"/>
          </w:tcPr>
          <w:p w14:paraId="5C2C18F3" w14:textId="77777777" w:rsidR="00EF3DD9" w:rsidRPr="00E77373" w:rsidRDefault="00EF3DD9" w:rsidP="00EF3DD9">
            <w:pPr>
              <w:pStyle w:val="Tableheadings"/>
            </w:pPr>
            <w:r w:rsidRPr="00E77373">
              <w:t>Date</w:t>
            </w:r>
          </w:p>
        </w:tc>
        <w:tc>
          <w:tcPr>
            <w:tcW w:w="3969" w:type="dxa"/>
            <w:shd w:val="clear" w:color="auto" w:fill="auto"/>
            <w:vAlign w:val="center"/>
          </w:tcPr>
          <w:p w14:paraId="5C2C18F4" w14:textId="77777777" w:rsidR="00EF3DD9" w:rsidRPr="00E77373" w:rsidRDefault="00EF3DD9" w:rsidP="00EF3DD9">
            <w:pPr>
              <w:pStyle w:val="Tableheadings"/>
            </w:pPr>
            <w:r w:rsidRPr="00E77373">
              <w:t>Summary of changes</w:t>
            </w:r>
          </w:p>
        </w:tc>
      </w:tr>
      <w:tr w:rsidR="00EF3DD9" w:rsidRPr="00E77373" w14:paraId="5C2C18FA" w14:textId="77777777" w:rsidTr="00EF3DD9">
        <w:tc>
          <w:tcPr>
            <w:tcW w:w="1242" w:type="dxa"/>
            <w:shd w:val="clear" w:color="auto" w:fill="auto"/>
            <w:vAlign w:val="center"/>
          </w:tcPr>
          <w:p w14:paraId="5C2C18F6" w14:textId="77777777" w:rsidR="00EF3DD9" w:rsidRPr="00E77373" w:rsidRDefault="00EF3DD9" w:rsidP="00BB5DB7">
            <w:bookmarkStart w:id="2" w:name="VersionNumber" w:colFirst="0" w:colLast="0"/>
            <w:bookmarkStart w:id="3" w:name="Author" w:colFirst="1" w:colLast="1"/>
            <w:bookmarkStart w:id="4" w:name="Date" w:colFirst="2" w:colLast="2"/>
            <w:r w:rsidRPr="00E77373">
              <w:t>1.0</w:t>
            </w:r>
          </w:p>
        </w:tc>
        <w:tc>
          <w:tcPr>
            <w:tcW w:w="2410" w:type="dxa"/>
            <w:shd w:val="clear" w:color="auto" w:fill="auto"/>
            <w:vAlign w:val="center"/>
          </w:tcPr>
          <w:p w14:paraId="5C2C18F7" w14:textId="77777777" w:rsidR="00EF3DD9" w:rsidRPr="00E77373" w:rsidRDefault="00423573" w:rsidP="00BB5DB7">
            <w:r>
              <w:t>Sarabjit Birdi</w:t>
            </w:r>
          </w:p>
        </w:tc>
        <w:tc>
          <w:tcPr>
            <w:tcW w:w="1559" w:type="dxa"/>
            <w:shd w:val="clear" w:color="auto" w:fill="auto"/>
            <w:vAlign w:val="center"/>
          </w:tcPr>
          <w:p w14:paraId="5C2C18F8" w14:textId="77777777" w:rsidR="00EF3DD9" w:rsidRPr="00E77373" w:rsidRDefault="004C31DA" w:rsidP="00BB5DB7">
            <w:r>
              <w:t>29/05</w:t>
            </w:r>
            <w:r w:rsidR="00423573">
              <w:t>/2014</w:t>
            </w:r>
          </w:p>
        </w:tc>
        <w:tc>
          <w:tcPr>
            <w:tcW w:w="3969" w:type="dxa"/>
            <w:shd w:val="clear" w:color="auto" w:fill="auto"/>
            <w:vAlign w:val="center"/>
          </w:tcPr>
          <w:p w14:paraId="5C2C18F9" w14:textId="77777777" w:rsidR="00EF3DD9" w:rsidRPr="00E77373" w:rsidRDefault="00EF3DD9" w:rsidP="00BB5DB7">
            <w:r>
              <w:t>First version</w:t>
            </w:r>
          </w:p>
        </w:tc>
      </w:tr>
      <w:bookmarkEnd w:id="2"/>
      <w:bookmarkEnd w:id="3"/>
      <w:bookmarkEnd w:id="4"/>
      <w:tr w:rsidR="00EF3DD9" w:rsidRPr="00E77373" w14:paraId="5C2C18FF" w14:textId="77777777" w:rsidTr="00EF3DD9">
        <w:tc>
          <w:tcPr>
            <w:tcW w:w="1242" w:type="dxa"/>
            <w:shd w:val="clear" w:color="auto" w:fill="auto"/>
            <w:vAlign w:val="center"/>
          </w:tcPr>
          <w:p w14:paraId="5C2C18FB" w14:textId="77777777" w:rsidR="00EF3DD9" w:rsidRPr="00E77373" w:rsidRDefault="00EF3DD9" w:rsidP="00BB5DB7">
            <w:r>
              <w:t>1.1</w:t>
            </w:r>
          </w:p>
        </w:tc>
        <w:tc>
          <w:tcPr>
            <w:tcW w:w="2410" w:type="dxa"/>
            <w:shd w:val="clear" w:color="auto" w:fill="auto"/>
            <w:vAlign w:val="center"/>
          </w:tcPr>
          <w:p w14:paraId="5C2C18FC" w14:textId="77777777" w:rsidR="00EF3DD9" w:rsidRPr="00E77373" w:rsidRDefault="00EF3DD9" w:rsidP="00BB5DB7">
            <w:r>
              <w:t>Author Name</w:t>
            </w:r>
          </w:p>
        </w:tc>
        <w:tc>
          <w:tcPr>
            <w:tcW w:w="1559" w:type="dxa"/>
            <w:shd w:val="clear" w:color="auto" w:fill="auto"/>
            <w:vAlign w:val="center"/>
          </w:tcPr>
          <w:p w14:paraId="5C2C18FD" w14:textId="77777777" w:rsidR="00EF3DD9" w:rsidRPr="00E77373" w:rsidRDefault="00EF3DD9" w:rsidP="00BB5DB7">
            <w:r>
              <w:t>Date</w:t>
            </w:r>
          </w:p>
        </w:tc>
        <w:tc>
          <w:tcPr>
            <w:tcW w:w="3969" w:type="dxa"/>
            <w:shd w:val="clear" w:color="auto" w:fill="auto"/>
            <w:vAlign w:val="center"/>
          </w:tcPr>
          <w:p w14:paraId="5C2C18FE" w14:textId="77777777" w:rsidR="00EF3DD9" w:rsidRPr="00E77373" w:rsidRDefault="00EF3DD9" w:rsidP="00BB5DB7">
            <w:r>
              <w:t>Minor revision</w:t>
            </w:r>
          </w:p>
        </w:tc>
      </w:tr>
      <w:tr w:rsidR="00EF3DD9" w:rsidRPr="00E77373" w14:paraId="5C2C1904" w14:textId="77777777" w:rsidTr="00EF3DD9">
        <w:tc>
          <w:tcPr>
            <w:tcW w:w="1242" w:type="dxa"/>
            <w:shd w:val="clear" w:color="auto" w:fill="auto"/>
            <w:vAlign w:val="center"/>
          </w:tcPr>
          <w:p w14:paraId="5C2C1900" w14:textId="77777777" w:rsidR="00EF3DD9" w:rsidRPr="0043395D" w:rsidRDefault="00EF3DD9" w:rsidP="00BB5DB7">
            <w:r>
              <w:t>2.0</w:t>
            </w:r>
          </w:p>
        </w:tc>
        <w:tc>
          <w:tcPr>
            <w:tcW w:w="2410" w:type="dxa"/>
            <w:shd w:val="clear" w:color="auto" w:fill="auto"/>
            <w:vAlign w:val="center"/>
          </w:tcPr>
          <w:p w14:paraId="5C2C1901" w14:textId="77777777" w:rsidR="00EF3DD9" w:rsidRPr="0043395D" w:rsidRDefault="00EF3DD9" w:rsidP="00BB5DB7">
            <w:r>
              <w:t>Author Name</w:t>
            </w:r>
          </w:p>
        </w:tc>
        <w:tc>
          <w:tcPr>
            <w:tcW w:w="1559" w:type="dxa"/>
            <w:shd w:val="clear" w:color="auto" w:fill="auto"/>
            <w:vAlign w:val="center"/>
          </w:tcPr>
          <w:p w14:paraId="5C2C1902" w14:textId="77777777" w:rsidR="00EF3DD9" w:rsidRPr="0043395D" w:rsidRDefault="00EF3DD9" w:rsidP="00BB5DB7">
            <w:r>
              <w:t xml:space="preserve">Date </w:t>
            </w:r>
          </w:p>
        </w:tc>
        <w:tc>
          <w:tcPr>
            <w:tcW w:w="3969" w:type="dxa"/>
            <w:shd w:val="clear" w:color="auto" w:fill="auto"/>
            <w:vAlign w:val="center"/>
          </w:tcPr>
          <w:p w14:paraId="5C2C1903" w14:textId="77777777" w:rsidR="00EF3DD9" w:rsidRPr="0043395D" w:rsidRDefault="00EF3DD9" w:rsidP="00BB5DB7">
            <w:r>
              <w:t>Major revision</w:t>
            </w:r>
          </w:p>
        </w:tc>
      </w:tr>
      <w:tr w:rsidR="00EF3DD9" w:rsidRPr="00E77373" w14:paraId="5C2C1909" w14:textId="77777777" w:rsidTr="00EF3DD9">
        <w:tc>
          <w:tcPr>
            <w:tcW w:w="1242" w:type="dxa"/>
            <w:shd w:val="clear" w:color="auto" w:fill="auto"/>
            <w:vAlign w:val="center"/>
          </w:tcPr>
          <w:p w14:paraId="5C2C1905" w14:textId="77777777" w:rsidR="00EF3DD9" w:rsidRPr="0043395D" w:rsidRDefault="00EF3DD9" w:rsidP="00BB5DB7"/>
        </w:tc>
        <w:tc>
          <w:tcPr>
            <w:tcW w:w="2410" w:type="dxa"/>
            <w:shd w:val="clear" w:color="auto" w:fill="auto"/>
            <w:vAlign w:val="center"/>
          </w:tcPr>
          <w:p w14:paraId="5C2C1906" w14:textId="77777777" w:rsidR="00EF3DD9" w:rsidRPr="0043395D" w:rsidRDefault="00EF3DD9" w:rsidP="00BB5DB7"/>
        </w:tc>
        <w:tc>
          <w:tcPr>
            <w:tcW w:w="1559" w:type="dxa"/>
            <w:shd w:val="clear" w:color="auto" w:fill="auto"/>
            <w:vAlign w:val="center"/>
          </w:tcPr>
          <w:p w14:paraId="5C2C1907" w14:textId="77777777" w:rsidR="00EF3DD9" w:rsidRDefault="00EF3DD9" w:rsidP="00BB5DB7"/>
        </w:tc>
        <w:tc>
          <w:tcPr>
            <w:tcW w:w="3969" w:type="dxa"/>
            <w:shd w:val="clear" w:color="auto" w:fill="auto"/>
            <w:vAlign w:val="center"/>
          </w:tcPr>
          <w:p w14:paraId="5C2C1908" w14:textId="77777777" w:rsidR="00EF3DD9" w:rsidRDefault="00EF3DD9" w:rsidP="00BB5DB7"/>
        </w:tc>
      </w:tr>
    </w:tbl>
    <w:p w14:paraId="5C2C190A" w14:textId="77777777" w:rsidR="004C31DA" w:rsidRDefault="004C31DA" w:rsidP="00EF3DD9">
      <w:pPr>
        <w:rPr>
          <w:rFonts w:cs="Arial"/>
          <w:bCs/>
        </w:rPr>
      </w:pPr>
    </w:p>
    <w:p w14:paraId="5C2C190B" w14:textId="77777777" w:rsidR="005343E3" w:rsidRDefault="005343E3" w:rsidP="004C31DA">
      <w:pPr>
        <w:tabs>
          <w:tab w:val="left" w:pos="6615"/>
          <w:tab w:val="left" w:pos="7110"/>
        </w:tabs>
        <w:rPr>
          <w:rFonts w:cs="Arial"/>
        </w:rPr>
      </w:pPr>
    </w:p>
    <w:p w14:paraId="5C2C190C" w14:textId="77777777" w:rsidR="005343E3" w:rsidRDefault="005343E3" w:rsidP="004C31DA">
      <w:pPr>
        <w:tabs>
          <w:tab w:val="left" w:pos="6615"/>
          <w:tab w:val="left" w:pos="7110"/>
        </w:tabs>
        <w:rPr>
          <w:rFonts w:cs="Arial"/>
        </w:rPr>
      </w:pPr>
    </w:p>
    <w:p w14:paraId="5C2C190D" w14:textId="77777777" w:rsidR="005343E3" w:rsidRDefault="005343E3" w:rsidP="004C31DA">
      <w:pPr>
        <w:tabs>
          <w:tab w:val="left" w:pos="6615"/>
          <w:tab w:val="left" w:pos="7110"/>
        </w:tabs>
        <w:rPr>
          <w:rFonts w:cs="Arial"/>
        </w:rPr>
      </w:pPr>
    </w:p>
    <w:p w14:paraId="5C2C190E" w14:textId="77777777" w:rsidR="005343E3" w:rsidRDefault="005343E3" w:rsidP="004C31DA">
      <w:pPr>
        <w:tabs>
          <w:tab w:val="left" w:pos="6615"/>
          <w:tab w:val="left" w:pos="7110"/>
        </w:tabs>
        <w:rPr>
          <w:rFonts w:cs="Arial"/>
        </w:rPr>
      </w:pPr>
    </w:p>
    <w:p w14:paraId="5C2C190F" w14:textId="77777777" w:rsidR="005343E3" w:rsidRDefault="005343E3" w:rsidP="004C31DA">
      <w:pPr>
        <w:tabs>
          <w:tab w:val="left" w:pos="6615"/>
          <w:tab w:val="left" w:pos="7110"/>
        </w:tabs>
        <w:rPr>
          <w:rFonts w:cs="Arial"/>
        </w:rPr>
      </w:pPr>
    </w:p>
    <w:p w14:paraId="5C2C1910" w14:textId="77777777" w:rsidR="005343E3" w:rsidRDefault="005343E3" w:rsidP="004C31DA">
      <w:pPr>
        <w:tabs>
          <w:tab w:val="left" w:pos="6615"/>
          <w:tab w:val="left" w:pos="7110"/>
        </w:tabs>
        <w:rPr>
          <w:rFonts w:cs="Arial"/>
        </w:rPr>
      </w:pPr>
    </w:p>
    <w:p w14:paraId="5C2C1911" w14:textId="77777777" w:rsidR="005343E3" w:rsidRDefault="005343E3" w:rsidP="004C31DA">
      <w:pPr>
        <w:tabs>
          <w:tab w:val="left" w:pos="6615"/>
          <w:tab w:val="left" w:pos="7110"/>
        </w:tabs>
        <w:rPr>
          <w:rFonts w:cs="Arial"/>
        </w:rPr>
      </w:pPr>
    </w:p>
    <w:p w14:paraId="5C2C1912" w14:textId="77777777" w:rsidR="005343E3" w:rsidRDefault="005343E3" w:rsidP="004C31DA">
      <w:pPr>
        <w:tabs>
          <w:tab w:val="left" w:pos="6615"/>
          <w:tab w:val="left" w:pos="7110"/>
        </w:tabs>
        <w:rPr>
          <w:rFonts w:cs="Arial"/>
        </w:rPr>
      </w:pPr>
    </w:p>
    <w:p w14:paraId="5C2C1913" w14:textId="77777777" w:rsidR="005343E3" w:rsidRDefault="005343E3" w:rsidP="004C31DA">
      <w:pPr>
        <w:tabs>
          <w:tab w:val="left" w:pos="6615"/>
          <w:tab w:val="left" w:pos="7110"/>
        </w:tabs>
        <w:rPr>
          <w:rFonts w:cs="Arial"/>
        </w:rPr>
      </w:pPr>
    </w:p>
    <w:p w14:paraId="5C2C1914" w14:textId="77777777" w:rsidR="005343E3" w:rsidRDefault="005343E3" w:rsidP="004C31DA">
      <w:pPr>
        <w:tabs>
          <w:tab w:val="left" w:pos="6615"/>
          <w:tab w:val="left" w:pos="7110"/>
        </w:tabs>
        <w:rPr>
          <w:rFonts w:cs="Arial"/>
        </w:rPr>
      </w:pPr>
    </w:p>
    <w:p w14:paraId="5C2C1915" w14:textId="77777777" w:rsidR="005343E3" w:rsidRDefault="005343E3" w:rsidP="004C31DA">
      <w:pPr>
        <w:tabs>
          <w:tab w:val="left" w:pos="6615"/>
          <w:tab w:val="left" w:pos="7110"/>
        </w:tabs>
        <w:rPr>
          <w:rFonts w:cs="Arial"/>
        </w:rPr>
      </w:pPr>
    </w:p>
    <w:p w14:paraId="5C2C1916" w14:textId="77777777" w:rsidR="005343E3" w:rsidRDefault="005343E3" w:rsidP="004C31DA">
      <w:pPr>
        <w:tabs>
          <w:tab w:val="left" w:pos="6615"/>
          <w:tab w:val="left" w:pos="7110"/>
        </w:tabs>
        <w:rPr>
          <w:rFonts w:cs="Arial"/>
        </w:rPr>
      </w:pPr>
    </w:p>
    <w:p w14:paraId="5C2C1917" w14:textId="77777777" w:rsidR="005343E3" w:rsidRDefault="005343E3" w:rsidP="004C31DA">
      <w:pPr>
        <w:tabs>
          <w:tab w:val="left" w:pos="6615"/>
          <w:tab w:val="left" w:pos="7110"/>
        </w:tabs>
        <w:rPr>
          <w:rFonts w:cs="Arial"/>
        </w:rPr>
      </w:pPr>
    </w:p>
    <w:p w14:paraId="5C2C1918" w14:textId="77777777" w:rsidR="005343E3" w:rsidRDefault="005343E3" w:rsidP="004C31DA">
      <w:pPr>
        <w:tabs>
          <w:tab w:val="left" w:pos="6615"/>
          <w:tab w:val="left" w:pos="7110"/>
        </w:tabs>
        <w:rPr>
          <w:rFonts w:cs="Arial"/>
        </w:rPr>
      </w:pPr>
    </w:p>
    <w:p w14:paraId="5C2C1919" w14:textId="77777777" w:rsidR="005343E3" w:rsidRDefault="005343E3" w:rsidP="004C31DA">
      <w:pPr>
        <w:tabs>
          <w:tab w:val="left" w:pos="6615"/>
          <w:tab w:val="left" w:pos="7110"/>
        </w:tabs>
        <w:rPr>
          <w:rFonts w:cs="Arial"/>
        </w:rPr>
      </w:pPr>
    </w:p>
    <w:p w14:paraId="5C2C191A" w14:textId="77777777" w:rsidR="00EF3DD9" w:rsidRPr="004C31DA" w:rsidRDefault="004C31DA" w:rsidP="004C31DA">
      <w:pPr>
        <w:tabs>
          <w:tab w:val="left" w:pos="6615"/>
          <w:tab w:val="left" w:pos="7110"/>
        </w:tabs>
        <w:rPr>
          <w:rFonts w:cs="Arial"/>
        </w:rPr>
      </w:pPr>
      <w:r>
        <w:rPr>
          <w:rFonts w:cs="Arial"/>
        </w:rPr>
        <w:tab/>
      </w:r>
      <w:r>
        <w:rPr>
          <w:rFonts w:cs="Arial"/>
        </w:rPr>
        <w:tab/>
      </w:r>
    </w:p>
    <w:sdt>
      <w:sdtPr>
        <w:rPr>
          <w:rFonts w:ascii="Arial" w:eastAsiaTheme="minorHAnsi" w:hAnsi="Arial" w:cstheme="minorBidi"/>
          <w:b w:val="0"/>
          <w:bCs w:val="0"/>
          <w:color w:val="auto"/>
          <w:sz w:val="22"/>
          <w:szCs w:val="22"/>
          <w:lang w:val="en-GB" w:eastAsia="en-US"/>
        </w:rPr>
        <w:id w:val="-1192604056"/>
        <w:docPartObj>
          <w:docPartGallery w:val="Table of Contents"/>
          <w:docPartUnique/>
        </w:docPartObj>
      </w:sdtPr>
      <w:sdtEndPr>
        <w:rPr>
          <w:noProof/>
        </w:rPr>
      </w:sdtEndPr>
      <w:sdtContent>
        <w:p w14:paraId="5C2C191B" w14:textId="77777777" w:rsidR="00EF3DD9" w:rsidRPr="00EF3DD9" w:rsidRDefault="00EF3DD9" w:rsidP="00EF3DD9">
          <w:pPr>
            <w:pStyle w:val="TOCHeading"/>
            <w:rPr>
              <w:rStyle w:val="TableheadingsChar"/>
              <w:color w:val="auto"/>
            </w:rPr>
          </w:pPr>
          <w:r w:rsidRPr="00EF3DD9">
            <w:rPr>
              <w:rStyle w:val="TableheadingsChar"/>
              <w:color w:val="auto"/>
            </w:rPr>
            <w:t xml:space="preserve">Table </w:t>
          </w:r>
          <w:r>
            <w:rPr>
              <w:rStyle w:val="TableheadingsChar"/>
              <w:color w:val="auto"/>
            </w:rPr>
            <w:t xml:space="preserve">of </w:t>
          </w:r>
          <w:r w:rsidRPr="00EF3DD9">
            <w:rPr>
              <w:rStyle w:val="TableheadingsChar"/>
              <w:color w:val="auto"/>
            </w:rPr>
            <w:t>Contents</w:t>
          </w:r>
        </w:p>
        <w:p w14:paraId="5C2C191C" w14:textId="77777777" w:rsidR="005A6435" w:rsidRDefault="00EF3DD9">
          <w:pPr>
            <w:pStyle w:val="TOC1"/>
            <w:tabs>
              <w:tab w:val="right" w:leader="dot" w:pos="9016"/>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384126086" w:history="1">
            <w:r w:rsidR="005A6435" w:rsidRPr="000E1F4A">
              <w:rPr>
                <w:rStyle w:val="Hyperlink"/>
                <w:noProof/>
              </w:rPr>
              <w:t>Finance</w:t>
            </w:r>
            <w:r w:rsidR="005A6435">
              <w:rPr>
                <w:noProof/>
                <w:webHidden/>
              </w:rPr>
              <w:tab/>
            </w:r>
            <w:r w:rsidR="005A6435">
              <w:rPr>
                <w:noProof/>
                <w:webHidden/>
              </w:rPr>
              <w:fldChar w:fldCharType="begin"/>
            </w:r>
            <w:r w:rsidR="005A6435">
              <w:rPr>
                <w:noProof/>
                <w:webHidden/>
              </w:rPr>
              <w:instrText xml:space="preserve"> PAGEREF _Toc384126086 \h </w:instrText>
            </w:r>
            <w:r w:rsidR="005A6435">
              <w:rPr>
                <w:noProof/>
                <w:webHidden/>
              </w:rPr>
            </w:r>
            <w:r w:rsidR="005A6435">
              <w:rPr>
                <w:noProof/>
                <w:webHidden/>
              </w:rPr>
              <w:fldChar w:fldCharType="separate"/>
            </w:r>
            <w:r w:rsidR="008E7B9A">
              <w:rPr>
                <w:noProof/>
                <w:webHidden/>
              </w:rPr>
              <w:t>1</w:t>
            </w:r>
            <w:r w:rsidR="005A6435">
              <w:rPr>
                <w:noProof/>
                <w:webHidden/>
              </w:rPr>
              <w:fldChar w:fldCharType="end"/>
            </w:r>
          </w:hyperlink>
        </w:p>
        <w:p w14:paraId="5C2C191D" w14:textId="77777777" w:rsidR="005A6435" w:rsidRDefault="00FD05C8">
          <w:pPr>
            <w:pStyle w:val="TOC1"/>
            <w:tabs>
              <w:tab w:val="right" w:leader="dot" w:pos="9016"/>
            </w:tabs>
            <w:rPr>
              <w:rFonts w:asciiTheme="minorHAnsi" w:eastAsiaTheme="minorEastAsia" w:hAnsiTheme="minorHAnsi"/>
              <w:noProof/>
              <w:lang w:eastAsia="en-GB"/>
            </w:rPr>
          </w:pPr>
          <w:hyperlink w:anchor="_Toc384126087" w:history="1">
            <w:r w:rsidR="005A6435" w:rsidRPr="000E1F4A">
              <w:rPr>
                <w:rStyle w:val="Hyperlink"/>
                <w:noProof/>
              </w:rPr>
              <w:t>Policy: Accounts Payable</w:t>
            </w:r>
            <w:r w:rsidR="005A6435">
              <w:rPr>
                <w:noProof/>
                <w:webHidden/>
              </w:rPr>
              <w:tab/>
            </w:r>
            <w:r w:rsidR="005A6435">
              <w:rPr>
                <w:noProof/>
                <w:webHidden/>
              </w:rPr>
              <w:fldChar w:fldCharType="begin"/>
            </w:r>
            <w:r w:rsidR="005A6435">
              <w:rPr>
                <w:noProof/>
                <w:webHidden/>
              </w:rPr>
              <w:instrText xml:space="preserve"> PAGEREF _Toc384126087 \h </w:instrText>
            </w:r>
            <w:r w:rsidR="005A6435">
              <w:rPr>
                <w:noProof/>
                <w:webHidden/>
              </w:rPr>
            </w:r>
            <w:r w:rsidR="005A6435">
              <w:rPr>
                <w:noProof/>
                <w:webHidden/>
              </w:rPr>
              <w:fldChar w:fldCharType="separate"/>
            </w:r>
            <w:r w:rsidR="008E7B9A">
              <w:rPr>
                <w:noProof/>
                <w:webHidden/>
              </w:rPr>
              <w:t>3</w:t>
            </w:r>
            <w:r w:rsidR="005A6435">
              <w:rPr>
                <w:noProof/>
                <w:webHidden/>
              </w:rPr>
              <w:fldChar w:fldCharType="end"/>
            </w:r>
          </w:hyperlink>
        </w:p>
        <w:p w14:paraId="5C2C191E" w14:textId="77777777" w:rsidR="005A6435" w:rsidRDefault="00FD05C8">
          <w:pPr>
            <w:pStyle w:val="TOC2"/>
            <w:tabs>
              <w:tab w:val="left" w:pos="660"/>
              <w:tab w:val="right" w:leader="dot" w:pos="9016"/>
            </w:tabs>
            <w:rPr>
              <w:rFonts w:asciiTheme="minorHAnsi" w:eastAsiaTheme="minorEastAsia" w:hAnsiTheme="minorHAnsi"/>
              <w:noProof/>
              <w:lang w:eastAsia="en-GB"/>
            </w:rPr>
          </w:pPr>
          <w:hyperlink w:anchor="_Toc384126088" w:history="1">
            <w:r w:rsidR="005A6435" w:rsidRPr="000E1F4A">
              <w:rPr>
                <w:rStyle w:val="Hyperlink"/>
                <w:noProof/>
              </w:rPr>
              <w:t>1.</w:t>
            </w:r>
            <w:r w:rsidR="005A6435">
              <w:rPr>
                <w:rFonts w:asciiTheme="minorHAnsi" w:eastAsiaTheme="minorEastAsia" w:hAnsiTheme="minorHAnsi"/>
                <w:noProof/>
                <w:lang w:eastAsia="en-GB"/>
              </w:rPr>
              <w:tab/>
            </w:r>
            <w:r w:rsidR="005A6435" w:rsidRPr="000E1F4A">
              <w:rPr>
                <w:rStyle w:val="Hyperlink"/>
                <w:noProof/>
              </w:rPr>
              <w:t>Purpose</w:t>
            </w:r>
            <w:r w:rsidR="005A6435">
              <w:rPr>
                <w:noProof/>
                <w:webHidden/>
              </w:rPr>
              <w:tab/>
            </w:r>
            <w:r w:rsidR="005A6435">
              <w:rPr>
                <w:noProof/>
                <w:webHidden/>
              </w:rPr>
              <w:fldChar w:fldCharType="begin"/>
            </w:r>
            <w:r w:rsidR="005A6435">
              <w:rPr>
                <w:noProof/>
                <w:webHidden/>
              </w:rPr>
              <w:instrText xml:space="preserve"> PAGEREF _Toc384126088 \h </w:instrText>
            </w:r>
            <w:r w:rsidR="005A6435">
              <w:rPr>
                <w:noProof/>
                <w:webHidden/>
              </w:rPr>
            </w:r>
            <w:r w:rsidR="005A6435">
              <w:rPr>
                <w:noProof/>
                <w:webHidden/>
              </w:rPr>
              <w:fldChar w:fldCharType="separate"/>
            </w:r>
            <w:r w:rsidR="008E7B9A">
              <w:rPr>
                <w:noProof/>
                <w:webHidden/>
              </w:rPr>
              <w:t>3</w:t>
            </w:r>
            <w:r w:rsidR="005A6435">
              <w:rPr>
                <w:noProof/>
                <w:webHidden/>
              </w:rPr>
              <w:fldChar w:fldCharType="end"/>
            </w:r>
          </w:hyperlink>
        </w:p>
        <w:p w14:paraId="5C2C191F" w14:textId="77777777" w:rsidR="005A6435" w:rsidRDefault="00FD05C8">
          <w:pPr>
            <w:pStyle w:val="TOC2"/>
            <w:tabs>
              <w:tab w:val="left" w:pos="660"/>
              <w:tab w:val="right" w:leader="dot" w:pos="9016"/>
            </w:tabs>
            <w:rPr>
              <w:rFonts w:asciiTheme="minorHAnsi" w:eastAsiaTheme="minorEastAsia" w:hAnsiTheme="minorHAnsi"/>
              <w:noProof/>
              <w:lang w:eastAsia="en-GB"/>
            </w:rPr>
          </w:pPr>
          <w:hyperlink w:anchor="_Toc384126089" w:history="1">
            <w:r w:rsidR="005A6435" w:rsidRPr="000E1F4A">
              <w:rPr>
                <w:rStyle w:val="Hyperlink"/>
                <w:noProof/>
              </w:rPr>
              <w:t>2.</w:t>
            </w:r>
            <w:r w:rsidR="005A6435">
              <w:rPr>
                <w:rFonts w:asciiTheme="minorHAnsi" w:eastAsiaTheme="minorEastAsia" w:hAnsiTheme="minorHAnsi"/>
                <w:noProof/>
                <w:lang w:eastAsia="en-GB"/>
              </w:rPr>
              <w:tab/>
            </w:r>
            <w:r w:rsidR="005A6435" w:rsidRPr="000E1F4A">
              <w:rPr>
                <w:rStyle w:val="Hyperlink"/>
                <w:noProof/>
              </w:rPr>
              <w:t>Definition</w:t>
            </w:r>
            <w:r w:rsidR="005A6435">
              <w:rPr>
                <w:noProof/>
                <w:webHidden/>
              </w:rPr>
              <w:tab/>
            </w:r>
            <w:r w:rsidR="005A6435">
              <w:rPr>
                <w:noProof/>
                <w:webHidden/>
              </w:rPr>
              <w:fldChar w:fldCharType="begin"/>
            </w:r>
            <w:r w:rsidR="005A6435">
              <w:rPr>
                <w:noProof/>
                <w:webHidden/>
              </w:rPr>
              <w:instrText xml:space="preserve"> PAGEREF _Toc384126089 \h </w:instrText>
            </w:r>
            <w:r w:rsidR="005A6435">
              <w:rPr>
                <w:noProof/>
                <w:webHidden/>
              </w:rPr>
            </w:r>
            <w:r w:rsidR="005A6435">
              <w:rPr>
                <w:noProof/>
                <w:webHidden/>
              </w:rPr>
              <w:fldChar w:fldCharType="separate"/>
            </w:r>
            <w:r w:rsidR="008E7B9A">
              <w:rPr>
                <w:noProof/>
                <w:webHidden/>
              </w:rPr>
              <w:t>3</w:t>
            </w:r>
            <w:r w:rsidR="005A6435">
              <w:rPr>
                <w:noProof/>
                <w:webHidden/>
              </w:rPr>
              <w:fldChar w:fldCharType="end"/>
            </w:r>
          </w:hyperlink>
        </w:p>
        <w:p w14:paraId="5C2C1920" w14:textId="77777777" w:rsidR="005A6435" w:rsidRDefault="00FD05C8">
          <w:pPr>
            <w:pStyle w:val="TOC2"/>
            <w:tabs>
              <w:tab w:val="left" w:pos="660"/>
              <w:tab w:val="right" w:leader="dot" w:pos="9016"/>
            </w:tabs>
            <w:rPr>
              <w:rFonts w:asciiTheme="minorHAnsi" w:eastAsiaTheme="minorEastAsia" w:hAnsiTheme="minorHAnsi"/>
              <w:noProof/>
              <w:lang w:eastAsia="en-GB"/>
            </w:rPr>
          </w:pPr>
          <w:hyperlink w:anchor="_Toc384126090" w:history="1">
            <w:r w:rsidR="005A6435" w:rsidRPr="000E1F4A">
              <w:rPr>
                <w:rStyle w:val="Hyperlink"/>
                <w:noProof/>
              </w:rPr>
              <w:t>3.</w:t>
            </w:r>
            <w:r w:rsidR="005A6435">
              <w:rPr>
                <w:rFonts w:asciiTheme="minorHAnsi" w:eastAsiaTheme="minorEastAsia" w:hAnsiTheme="minorHAnsi"/>
                <w:noProof/>
                <w:lang w:eastAsia="en-GB"/>
              </w:rPr>
              <w:tab/>
            </w:r>
            <w:r w:rsidR="005A6435" w:rsidRPr="000E1F4A">
              <w:rPr>
                <w:rStyle w:val="Hyperlink"/>
                <w:noProof/>
              </w:rPr>
              <w:t>Principles</w:t>
            </w:r>
            <w:r w:rsidR="005A6435">
              <w:rPr>
                <w:noProof/>
                <w:webHidden/>
              </w:rPr>
              <w:tab/>
            </w:r>
            <w:r w:rsidR="005A6435">
              <w:rPr>
                <w:noProof/>
                <w:webHidden/>
              </w:rPr>
              <w:fldChar w:fldCharType="begin"/>
            </w:r>
            <w:r w:rsidR="005A6435">
              <w:rPr>
                <w:noProof/>
                <w:webHidden/>
              </w:rPr>
              <w:instrText xml:space="preserve"> PAGEREF _Toc384126090 \h </w:instrText>
            </w:r>
            <w:r w:rsidR="005A6435">
              <w:rPr>
                <w:noProof/>
                <w:webHidden/>
              </w:rPr>
            </w:r>
            <w:r w:rsidR="005A6435">
              <w:rPr>
                <w:noProof/>
                <w:webHidden/>
              </w:rPr>
              <w:fldChar w:fldCharType="separate"/>
            </w:r>
            <w:r w:rsidR="008E7B9A">
              <w:rPr>
                <w:noProof/>
                <w:webHidden/>
              </w:rPr>
              <w:t>3</w:t>
            </w:r>
            <w:r w:rsidR="005A6435">
              <w:rPr>
                <w:noProof/>
                <w:webHidden/>
              </w:rPr>
              <w:fldChar w:fldCharType="end"/>
            </w:r>
          </w:hyperlink>
        </w:p>
        <w:p w14:paraId="5C2C1921" w14:textId="77777777" w:rsidR="005A6435" w:rsidRDefault="00FD05C8">
          <w:pPr>
            <w:pStyle w:val="TOC2"/>
            <w:tabs>
              <w:tab w:val="left" w:pos="660"/>
              <w:tab w:val="right" w:leader="dot" w:pos="9016"/>
            </w:tabs>
            <w:rPr>
              <w:rFonts w:asciiTheme="minorHAnsi" w:eastAsiaTheme="minorEastAsia" w:hAnsiTheme="minorHAnsi"/>
              <w:noProof/>
              <w:lang w:eastAsia="en-GB"/>
            </w:rPr>
          </w:pPr>
          <w:hyperlink w:anchor="_Toc384126091" w:history="1">
            <w:r w:rsidR="005A6435" w:rsidRPr="000E1F4A">
              <w:rPr>
                <w:rStyle w:val="Hyperlink"/>
                <w:noProof/>
              </w:rPr>
              <w:t>4.</w:t>
            </w:r>
            <w:r w:rsidR="005A6435">
              <w:rPr>
                <w:rFonts w:asciiTheme="minorHAnsi" w:eastAsiaTheme="minorEastAsia" w:hAnsiTheme="minorHAnsi"/>
                <w:noProof/>
                <w:lang w:eastAsia="en-GB"/>
              </w:rPr>
              <w:tab/>
            </w:r>
            <w:r w:rsidR="005A6435" w:rsidRPr="000E1F4A">
              <w:rPr>
                <w:rStyle w:val="Hyperlink"/>
                <w:noProof/>
              </w:rPr>
              <w:t>Policy Details</w:t>
            </w:r>
            <w:r w:rsidR="005A6435">
              <w:rPr>
                <w:noProof/>
                <w:webHidden/>
              </w:rPr>
              <w:tab/>
            </w:r>
            <w:r w:rsidR="005A6435">
              <w:rPr>
                <w:noProof/>
                <w:webHidden/>
              </w:rPr>
              <w:fldChar w:fldCharType="begin"/>
            </w:r>
            <w:r w:rsidR="005A6435">
              <w:rPr>
                <w:noProof/>
                <w:webHidden/>
              </w:rPr>
              <w:instrText xml:space="preserve"> PAGEREF _Toc384126091 \h </w:instrText>
            </w:r>
            <w:r w:rsidR="005A6435">
              <w:rPr>
                <w:noProof/>
                <w:webHidden/>
              </w:rPr>
            </w:r>
            <w:r w:rsidR="005A6435">
              <w:rPr>
                <w:noProof/>
                <w:webHidden/>
              </w:rPr>
              <w:fldChar w:fldCharType="separate"/>
            </w:r>
            <w:r w:rsidR="008E7B9A">
              <w:rPr>
                <w:noProof/>
                <w:webHidden/>
              </w:rPr>
              <w:t>3</w:t>
            </w:r>
            <w:r w:rsidR="005A6435">
              <w:rPr>
                <w:noProof/>
                <w:webHidden/>
              </w:rPr>
              <w:fldChar w:fldCharType="end"/>
            </w:r>
          </w:hyperlink>
        </w:p>
        <w:p w14:paraId="5C2C1922" w14:textId="77777777" w:rsidR="005A6435" w:rsidRDefault="00FD05C8">
          <w:pPr>
            <w:pStyle w:val="TOC2"/>
            <w:tabs>
              <w:tab w:val="left" w:pos="660"/>
              <w:tab w:val="right" w:leader="dot" w:pos="9016"/>
            </w:tabs>
            <w:rPr>
              <w:rFonts w:asciiTheme="minorHAnsi" w:eastAsiaTheme="minorEastAsia" w:hAnsiTheme="minorHAnsi"/>
              <w:noProof/>
              <w:lang w:eastAsia="en-GB"/>
            </w:rPr>
          </w:pPr>
          <w:hyperlink w:anchor="_Toc384126092" w:history="1">
            <w:r w:rsidR="005A6435" w:rsidRPr="000E1F4A">
              <w:rPr>
                <w:rStyle w:val="Hyperlink"/>
                <w:noProof/>
              </w:rPr>
              <w:t>5.</w:t>
            </w:r>
            <w:r w:rsidR="005A6435">
              <w:rPr>
                <w:rFonts w:asciiTheme="minorHAnsi" w:eastAsiaTheme="minorEastAsia" w:hAnsiTheme="minorHAnsi"/>
                <w:noProof/>
                <w:lang w:eastAsia="en-GB"/>
              </w:rPr>
              <w:tab/>
            </w:r>
            <w:r w:rsidR="005A6435" w:rsidRPr="000E1F4A">
              <w:rPr>
                <w:rStyle w:val="Hyperlink"/>
                <w:noProof/>
              </w:rPr>
              <w:t>Related Areas and Processes</w:t>
            </w:r>
            <w:r w:rsidR="005A6435">
              <w:rPr>
                <w:noProof/>
                <w:webHidden/>
              </w:rPr>
              <w:tab/>
            </w:r>
            <w:r w:rsidR="005A6435">
              <w:rPr>
                <w:noProof/>
                <w:webHidden/>
              </w:rPr>
              <w:fldChar w:fldCharType="begin"/>
            </w:r>
            <w:r w:rsidR="005A6435">
              <w:rPr>
                <w:noProof/>
                <w:webHidden/>
              </w:rPr>
              <w:instrText xml:space="preserve"> PAGEREF _Toc384126092 \h </w:instrText>
            </w:r>
            <w:r w:rsidR="005A6435">
              <w:rPr>
                <w:noProof/>
                <w:webHidden/>
              </w:rPr>
            </w:r>
            <w:r w:rsidR="005A6435">
              <w:rPr>
                <w:noProof/>
                <w:webHidden/>
              </w:rPr>
              <w:fldChar w:fldCharType="separate"/>
            </w:r>
            <w:r w:rsidR="008E7B9A">
              <w:rPr>
                <w:noProof/>
                <w:webHidden/>
              </w:rPr>
              <w:t>5</w:t>
            </w:r>
            <w:r w:rsidR="005A6435">
              <w:rPr>
                <w:noProof/>
                <w:webHidden/>
              </w:rPr>
              <w:fldChar w:fldCharType="end"/>
            </w:r>
          </w:hyperlink>
        </w:p>
        <w:p w14:paraId="5C2C1923" w14:textId="77777777" w:rsidR="005A6435" w:rsidRDefault="00FD05C8">
          <w:pPr>
            <w:pStyle w:val="TOC2"/>
            <w:tabs>
              <w:tab w:val="right" w:leader="dot" w:pos="9016"/>
            </w:tabs>
            <w:rPr>
              <w:rFonts w:asciiTheme="minorHAnsi" w:eastAsiaTheme="minorEastAsia" w:hAnsiTheme="minorHAnsi"/>
              <w:noProof/>
              <w:lang w:eastAsia="en-GB"/>
            </w:rPr>
          </w:pPr>
          <w:hyperlink w:anchor="_Toc384126093" w:history="1">
            <w:r w:rsidR="005A6435" w:rsidRPr="000E1F4A">
              <w:rPr>
                <w:rStyle w:val="Hyperlink"/>
                <w:noProof/>
              </w:rPr>
              <w:t>6. Issue management process</w:t>
            </w:r>
            <w:r w:rsidR="005A6435">
              <w:rPr>
                <w:noProof/>
                <w:webHidden/>
              </w:rPr>
              <w:tab/>
            </w:r>
            <w:r w:rsidR="005A6435">
              <w:rPr>
                <w:noProof/>
                <w:webHidden/>
              </w:rPr>
              <w:fldChar w:fldCharType="begin"/>
            </w:r>
            <w:r w:rsidR="005A6435">
              <w:rPr>
                <w:noProof/>
                <w:webHidden/>
              </w:rPr>
              <w:instrText xml:space="preserve"> PAGEREF _Toc384126093 \h </w:instrText>
            </w:r>
            <w:r w:rsidR="005A6435">
              <w:rPr>
                <w:noProof/>
                <w:webHidden/>
              </w:rPr>
            </w:r>
            <w:r w:rsidR="005A6435">
              <w:rPr>
                <w:noProof/>
                <w:webHidden/>
              </w:rPr>
              <w:fldChar w:fldCharType="separate"/>
            </w:r>
            <w:r w:rsidR="008E7B9A">
              <w:rPr>
                <w:noProof/>
                <w:webHidden/>
              </w:rPr>
              <w:t>5</w:t>
            </w:r>
            <w:r w:rsidR="005A6435">
              <w:rPr>
                <w:noProof/>
                <w:webHidden/>
              </w:rPr>
              <w:fldChar w:fldCharType="end"/>
            </w:r>
          </w:hyperlink>
        </w:p>
        <w:p w14:paraId="5C2C1924" w14:textId="77777777" w:rsidR="005A6435" w:rsidRDefault="00FD05C8">
          <w:pPr>
            <w:pStyle w:val="TOC1"/>
            <w:tabs>
              <w:tab w:val="right" w:leader="dot" w:pos="9016"/>
            </w:tabs>
            <w:rPr>
              <w:rFonts w:asciiTheme="minorHAnsi" w:eastAsiaTheme="minorEastAsia" w:hAnsiTheme="minorHAnsi"/>
              <w:noProof/>
              <w:lang w:eastAsia="en-GB"/>
            </w:rPr>
          </w:pPr>
          <w:hyperlink w:anchor="_Toc384126094" w:history="1">
            <w:r w:rsidR="005A6435" w:rsidRPr="000E1F4A">
              <w:rPr>
                <w:rStyle w:val="Hyperlink"/>
                <w:noProof/>
              </w:rPr>
              <w:t>Appendix</w:t>
            </w:r>
            <w:r w:rsidR="005A6435">
              <w:rPr>
                <w:noProof/>
                <w:webHidden/>
              </w:rPr>
              <w:tab/>
            </w:r>
            <w:r w:rsidR="005A6435">
              <w:rPr>
                <w:noProof/>
                <w:webHidden/>
              </w:rPr>
              <w:fldChar w:fldCharType="begin"/>
            </w:r>
            <w:r w:rsidR="005A6435">
              <w:rPr>
                <w:noProof/>
                <w:webHidden/>
              </w:rPr>
              <w:instrText xml:space="preserve"> PAGEREF _Toc384126094 \h </w:instrText>
            </w:r>
            <w:r w:rsidR="005A6435">
              <w:rPr>
                <w:noProof/>
                <w:webHidden/>
              </w:rPr>
            </w:r>
            <w:r w:rsidR="005A6435">
              <w:rPr>
                <w:noProof/>
                <w:webHidden/>
              </w:rPr>
              <w:fldChar w:fldCharType="separate"/>
            </w:r>
            <w:r w:rsidR="008E7B9A">
              <w:rPr>
                <w:noProof/>
                <w:webHidden/>
              </w:rPr>
              <w:t>6</w:t>
            </w:r>
            <w:r w:rsidR="005A6435">
              <w:rPr>
                <w:noProof/>
                <w:webHidden/>
              </w:rPr>
              <w:fldChar w:fldCharType="end"/>
            </w:r>
          </w:hyperlink>
        </w:p>
        <w:p w14:paraId="5C2C1925" w14:textId="77777777" w:rsidR="00EF3DD9" w:rsidRDefault="00EF3DD9">
          <w:r>
            <w:rPr>
              <w:b/>
              <w:bCs/>
              <w:noProof/>
            </w:rPr>
            <w:fldChar w:fldCharType="end"/>
          </w:r>
        </w:p>
      </w:sdtContent>
    </w:sdt>
    <w:p w14:paraId="5C2C1926" w14:textId="77777777" w:rsidR="00EF3DD9" w:rsidRDefault="00EF3DD9">
      <w:pPr>
        <w:spacing w:after="200" w:line="276" w:lineRule="auto"/>
        <w:rPr>
          <w:rFonts w:cs="Arial"/>
          <w:bCs/>
        </w:rPr>
      </w:pPr>
      <w:r>
        <w:rPr>
          <w:rFonts w:cs="Arial"/>
          <w:bCs/>
        </w:rPr>
        <w:br w:type="page"/>
      </w:r>
    </w:p>
    <w:p w14:paraId="5C2C1927" w14:textId="77777777" w:rsidR="00EF3DD9" w:rsidRPr="00EF3DD9" w:rsidRDefault="00EF3DD9" w:rsidP="00EF3DD9">
      <w:pPr>
        <w:pStyle w:val="Heading1"/>
      </w:pPr>
      <w:bookmarkStart w:id="5" w:name="_Toc384126087"/>
      <w:r w:rsidRPr="00EF3DD9">
        <w:lastRenderedPageBreak/>
        <w:t xml:space="preserve">Policy: </w:t>
      </w:r>
      <w:r w:rsidR="00423573">
        <w:rPr>
          <w:noProof/>
        </w:rPr>
        <w:t>Accounts Payable</w:t>
      </w:r>
      <w:bookmarkEnd w:id="5"/>
    </w:p>
    <w:p w14:paraId="5C2C1928" w14:textId="77777777" w:rsidR="00EF3DD9" w:rsidRPr="00EF3DD9" w:rsidRDefault="00EF3DD9" w:rsidP="00EF3DD9">
      <w:pPr>
        <w:spacing w:after="200" w:line="276" w:lineRule="auto"/>
        <w:rPr>
          <w:rFonts w:cs="Arial"/>
          <w:bCs/>
        </w:rPr>
      </w:pPr>
    </w:p>
    <w:p w14:paraId="5C2C1929" w14:textId="77777777" w:rsidR="00EF3DD9" w:rsidRPr="00EF3DD9" w:rsidRDefault="00EF3DD9" w:rsidP="006A48BE">
      <w:pPr>
        <w:pStyle w:val="Heading2"/>
        <w:numPr>
          <w:ilvl w:val="0"/>
          <w:numId w:val="15"/>
        </w:numPr>
      </w:pPr>
      <w:bookmarkStart w:id="6" w:name="_Toc384126088"/>
      <w:r w:rsidRPr="00EF3DD9">
        <w:t>Purpose</w:t>
      </w:r>
      <w:bookmarkEnd w:id="6"/>
    </w:p>
    <w:p w14:paraId="5C2C192A" w14:textId="77777777" w:rsidR="00FD2C14" w:rsidRDefault="00FD2C14" w:rsidP="00FD2C14">
      <w:r>
        <w:t xml:space="preserve">The purpose of this document is to outline the policy </w:t>
      </w:r>
      <w:r w:rsidR="004A01F5">
        <w:t>for</w:t>
      </w:r>
      <w:r>
        <w:t xml:space="preserve"> </w:t>
      </w:r>
      <w:r w:rsidR="00423573">
        <w:t>processing and payment of third party vendor invoices</w:t>
      </w:r>
      <w:r w:rsidR="00B44639">
        <w:t xml:space="preserve"> related to non-stock transactions</w:t>
      </w:r>
      <w:r w:rsidR="00423573">
        <w:t>.</w:t>
      </w:r>
    </w:p>
    <w:p w14:paraId="5C2C192B" w14:textId="77777777" w:rsidR="00D65440" w:rsidRDefault="00D65440" w:rsidP="00FD2C14"/>
    <w:p w14:paraId="5C2C192C" w14:textId="77777777" w:rsidR="00EF3DD9" w:rsidRPr="00EF3DD9" w:rsidRDefault="00D65440" w:rsidP="00EF3DD9">
      <w:pPr>
        <w:spacing w:after="200" w:line="276" w:lineRule="auto"/>
        <w:rPr>
          <w:rFonts w:cs="Arial"/>
          <w:bCs/>
        </w:rPr>
      </w:pPr>
      <w:r>
        <w:t xml:space="preserve">Please refer to the Intercompany Invoicing Policy document, which </w:t>
      </w:r>
      <w:r w:rsidRPr="00D65440">
        <w:t>outline</w:t>
      </w:r>
      <w:r>
        <w:t>s</w:t>
      </w:r>
      <w:r w:rsidRPr="00D65440">
        <w:t xml:space="preserve"> the policy around the treatment of intercompany transactions between ColArt related entities</w:t>
      </w:r>
      <w:r w:rsidR="00B44639">
        <w:t xml:space="preserve"> and the purchasing policy for stock purchases for purchases related to inventory.</w:t>
      </w:r>
    </w:p>
    <w:p w14:paraId="5C2C192D" w14:textId="77777777" w:rsidR="00EF3DD9" w:rsidRDefault="00EF3DD9" w:rsidP="006A48BE">
      <w:pPr>
        <w:pStyle w:val="Heading2"/>
        <w:numPr>
          <w:ilvl w:val="0"/>
          <w:numId w:val="15"/>
        </w:numPr>
      </w:pPr>
      <w:bookmarkStart w:id="7" w:name="_Toc384126089"/>
      <w:r w:rsidRPr="00EF3DD9">
        <w:t>Definition</w:t>
      </w:r>
      <w:bookmarkEnd w:id="7"/>
    </w:p>
    <w:p w14:paraId="5C2C192E" w14:textId="77777777" w:rsidR="00A77C7D" w:rsidRDefault="00A77C7D" w:rsidP="00EF3DD9">
      <w:r>
        <w:t>A</w:t>
      </w:r>
      <w:r w:rsidR="006B793B">
        <w:t xml:space="preserve"> </w:t>
      </w:r>
      <w:r w:rsidR="00423573">
        <w:t>third party vendor</w:t>
      </w:r>
      <w:r w:rsidR="006B793B">
        <w:t xml:space="preserve"> </w:t>
      </w:r>
      <w:r w:rsidR="00423573">
        <w:t xml:space="preserve">invoice relates to a </w:t>
      </w:r>
      <w:r w:rsidR="006B793B">
        <w:t xml:space="preserve">transaction between </w:t>
      </w:r>
      <w:r w:rsidR="00423573">
        <w:t xml:space="preserve">a ColArt group company and a third party vendor, who </w:t>
      </w:r>
      <w:r w:rsidR="006B793B">
        <w:t>has the right to payment based on a service</w:t>
      </w:r>
      <w:r>
        <w:t xml:space="preserve"> or product delivered for </w:t>
      </w:r>
      <w:r w:rsidR="006B793B">
        <w:t xml:space="preserve"> </w:t>
      </w:r>
      <w:r>
        <w:t>legitimate business purpose.</w:t>
      </w:r>
    </w:p>
    <w:p w14:paraId="5C2C192F" w14:textId="77777777" w:rsidR="003D0E24" w:rsidRPr="00EF3DD9" w:rsidRDefault="003D0E24" w:rsidP="00EF3DD9"/>
    <w:p w14:paraId="5C2C1930" w14:textId="77777777" w:rsidR="00EF3DD9" w:rsidRPr="00EF3DD9" w:rsidRDefault="00EF3DD9" w:rsidP="006A48BE">
      <w:pPr>
        <w:pStyle w:val="Heading2"/>
        <w:numPr>
          <w:ilvl w:val="0"/>
          <w:numId w:val="15"/>
        </w:numPr>
      </w:pPr>
      <w:bookmarkStart w:id="8" w:name="_Toc384126090"/>
      <w:r w:rsidRPr="00EF3DD9">
        <w:t>Principles</w:t>
      </w:r>
      <w:bookmarkEnd w:id="8"/>
    </w:p>
    <w:p w14:paraId="5C2C1931" w14:textId="77777777" w:rsidR="004A01F5" w:rsidRDefault="004E631F" w:rsidP="00EF3DD9">
      <w:pPr>
        <w:spacing w:after="200" w:line="276" w:lineRule="auto"/>
        <w:rPr>
          <w:rFonts w:cs="Arial"/>
          <w:bCs/>
        </w:rPr>
      </w:pPr>
      <w:r>
        <w:rPr>
          <w:rFonts w:cs="Arial"/>
          <w:bCs/>
        </w:rPr>
        <w:t xml:space="preserve">The key principles this policy is designed around are driven by </w:t>
      </w:r>
      <w:r w:rsidR="00A77C7D">
        <w:rPr>
          <w:rFonts w:cs="Arial"/>
          <w:bCs/>
        </w:rPr>
        <w:t xml:space="preserve">management and </w:t>
      </w:r>
      <w:r>
        <w:rPr>
          <w:rFonts w:cs="Arial"/>
          <w:bCs/>
        </w:rPr>
        <w:t xml:space="preserve">statutory </w:t>
      </w:r>
      <w:r w:rsidR="00A77C7D">
        <w:rPr>
          <w:rFonts w:cs="Arial"/>
          <w:bCs/>
        </w:rPr>
        <w:t xml:space="preserve">accounting </w:t>
      </w:r>
      <w:r>
        <w:rPr>
          <w:rFonts w:cs="Arial"/>
          <w:bCs/>
        </w:rPr>
        <w:t xml:space="preserve">requirements to ensure that </w:t>
      </w:r>
      <w:r w:rsidR="00D9736A">
        <w:rPr>
          <w:rFonts w:cs="Arial"/>
          <w:bCs/>
        </w:rPr>
        <w:t xml:space="preserve">expenditure </w:t>
      </w:r>
      <w:r w:rsidR="004A01F5">
        <w:rPr>
          <w:rFonts w:cs="Arial"/>
          <w:bCs/>
        </w:rPr>
        <w:t>is</w:t>
      </w:r>
      <w:r>
        <w:rPr>
          <w:rFonts w:cs="Arial"/>
          <w:bCs/>
        </w:rPr>
        <w:t xml:space="preserve"> captured </w:t>
      </w:r>
      <w:r w:rsidR="00436023">
        <w:rPr>
          <w:rFonts w:cs="Arial"/>
          <w:bCs/>
        </w:rPr>
        <w:t>in the entity</w:t>
      </w:r>
      <w:r w:rsidR="00A77C7D">
        <w:rPr>
          <w:rFonts w:cs="Arial"/>
          <w:bCs/>
        </w:rPr>
        <w:t xml:space="preserve"> and cost centre</w:t>
      </w:r>
      <w:r w:rsidR="00436023">
        <w:rPr>
          <w:rFonts w:cs="Arial"/>
          <w:bCs/>
        </w:rPr>
        <w:t xml:space="preserve"> that is the driver of the </w:t>
      </w:r>
      <w:r w:rsidR="004A01F5">
        <w:rPr>
          <w:rFonts w:cs="Arial"/>
          <w:bCs/>
        </w:rPr>
        <w:t xml:space="preserve">cost and holds the budget for it. </w:t>
      </w:r>
    </w:p>
    <w:p w14:paraId="5C2C1932" w14:textId="77777777" w:rsidR="00EF3DD9" w:rsidRDefault="00436023" w:rsidP="00EF3DD9">
      <w:pPr>
        <w:spacing w:after="200" w:line="276" w:lineRule="auto"/>
        <w:rPr>
          <w:rFonts w:cs="Arial"/>
          <w:bCs/>
        </w:rPr>
      </w:pPr>
      <w:r>
        <w:rPr>
          <w:rFonts w:cs="Arial"/>
          <w:bCs/>
        </w:rPr>
        <w:t>In addition</w:t>
      </w:r>
      <w:r w:rsidR="00A77C7D">
        <w:rPr>
          <w:rFonts w:cs="Arial"/>
          <w:bCs/>
        </w:rPr>
        <w:t xml:space="preserve">, </w:t>
      </w:r>
      <w:r w:rsidR="004A01F5">
        <w:rPr>
          <w:rFonts w:cs="Arial"/>
          <w:bCs/>
        </w:rPr>
        <w:t>the policy is</w:t>
      </w:r>
      <w:r>
        <w:rPr>
          <w:rFonts w:cs="Arial"/>
          <w:bCs/>
        </w:rPr>
        <w:t xml:space="preserve"> </w:t>
      </w:r>
      <w:r w:rsidR="00A77C7D">
        <w:rPr>
          <w:rFonts w:cs="Arial"/>
          <w:bCs/>
        </w:rPr>
        <w:t>designed to ensure that vendors are paid correctly and in compliance with agreed credit terms.</w:t>
      </w:r>
      <w:r w:rsidR="004A01F5">
        <w:rPr>
          <w:rFonts w:cs="Arial"/>
          <w:bCs/>
        </w:rPr>
        <w:t xml:space="preserve"> Overdue vendor balances could result in restricted supply of products/services as well as adverse credit rating</w:t>
      </w:r>
      <w:r w:rsidR="00B44639">
        <w:rPr>
          <w:rFonts w:cs="Arial"/>
          <w:bCs/>
        </w:rPr>
        <w:t>s</w:t>
      </w:r>
      <w:r w:rsidR="004A01F5">
        <w:rPr>
          <w:rFonts w:cs="Arial"/>
          <w:bCs/>
        </w:rPr>
        <w:t xml:space="preserve"> for the business.</w:t>
      </w:r>
    </w:p>
    <w:p w14:paraId="5C2C1933" w14:textId="77777777" w:rsidR="00EF3DD9" w:rsidRDefault="00EF3DD9" w:rsidP="006A48BE">
      <w:pPr>
        <w:pStyle w:val="Heading2"/>
        <w:numPr>
          <w:ilvl w:val="0"/>
          <w:numId w:val="15"/>
        </w:numPr>
      </w:pPr>
      <w:bookmarkStart w:id="9" w:name="_Toc384126091"/>
      <w:r>
        <w:t>Policy Details</w:t>
      </w:r>
      <w:bookmarkEnd w:id="9"/>
    </w:p>
    <w:p w14:paraId="5C2C1934" w14:textId="77777777" w:rsidR="006B793B" w:rsidRDefault="006B793B" w:rsidP="006B793B">
      <w:pPr>
        <w:rPr>
          <w:b/>
          <w:bCs/>
        </w:rPr>
      </w:pPr>
    </w:p>
    <w:p w14:paraId="5C2C1935" w14:textId="77777777" w:rsidR="006A48BE" w:rsidRDefault="00A77C7D" w:rsidP="006A48BE">
      <w:pPr>
        <w:pStyle w:val="ListParagraph"/>
        <w:numPr>
          <w:ilvl w:val="1"/>
          <w:numId w:val="15"/>
        </w:numPr>
        <w:spacing w:after="200" w:line="276" w:lineRule="auto"/>
        <w:rPr>
          <w:rFonts w:cs="Arial"/>
          <w:b/>
          <w:bCs/>
        </w:rPr>
      </w:pPr>
      <w:r w:rsidRPr="009525C4">
        <w:rPr>
          <w:rFonts w:cs="Arial"/>
          <w:b/>
          <w:bCs/>
        </w:rPr>
        <w:t>Purchase Orders</w:t>
      </w:r>
    </w:p>
    <w:p w14:paraId="5C2C1936" w14:textId="77777777" w:rsidR="00080545" w:rsidRPr="009525C4" w:rsidRDefault="00080545" w:rsidP="00080545">
      <w:pPr>
        <w:pStyle w:val="ListParagraph"/>
        <w:spacing w:after="200" w:line="276" w:lineRule="auto"/>
        <w:ind w:left="792"/>
        <w:rPr>
          <w:rFonts w:cs="Arial"/>
          <w:b/>
          <w:bCs/>
        </w:rPr>
      </w:pPr>
    </w:p>
    <w:p w14:paraId="5C2C1937" w14:textId="77777777" w:rsidR="003D0E24" w:rsidRPr="00D65440" w:rsidRDefault="00A77C7D" w:rsidP="008D064A">
      <w:pPr>
        <w:pStyle w:val="ListParagraph"/>
        <w:numPr>
          <w:ilvl w:val="2"/>
          <w:numId w:val="16"/>
        </w:numPr>
        <w:spacing w:after="200" w:line="276" w:lineRule="auto"/>
        <w:rPr>
          <w:rFonts w:cs="Arial"/>
          <w:bCs/>
        </w:rPr>
      </w:pPr>
      <w:r w:rsidRPr="008D064A">
        <w:rPr>
          <w:rFonts w:cs="Arial"/>
          <w:bCs/>
        </w:rPr>
        <w:t xml:space="preserve">Purchase Orders (POs) </w:t>
      </w:r>
      <w:r w:rsidR="00DD4B4D" w:rsidRPr="008D064A">
        <w:rPr>
          <w:rFonts w:cs="Arial"/>
          <w:bCs/>
        </w:rPr>
        <w:t>must be raised</w:t>
      </w:r>
      <w:r w:rsidRPr="008D064A">
        <w:rPr>
          <w:rFonts w:cs="Arial"/>
          <w:bCs/>
        </w:rPr>
        <w:t xml:space="preserve"> for all spend over </w:t>
      </w:r>
      <w:r w:rsidRPr="00D65440">
        <w:rPr>
          <w:rFonts w:cs="Arial"/>
          <w:bCs/>
        </w:rPr>
        <w:t>£</w:t>
      </w:r>
      <w:r w:rsidR="008D064A" w:rsidRPr="00D65440">
        <w:rPr>
          <w:rFonts w:cs="Arial"/>
          <w:bCs/>
        </w:rPr>
        <w:t>250</w:t>
      </w:r>
      <w:r w:rsidRPr="00D65440">
        <w:rPr>
          <w:rFonts w:cs="Arial"/>
          <w:bCs/>
        </w:rPr>
        <w:t xml:space="preserve">. </w:t>
      </w:r>
      <w:r w:rsidR="003D0E24" w:rsidRPr="00D65440">
        <w:rPr>
          <w:rFonts w:cs="Arial"/>
          <w:bCs/>
        </w:rPr>
        <w:t>It is the responsibility of the department originating the expense to ensure the PO process is followed</w:t>
      </w:r>
      <w:r w:rsidR="00B44639">
        <w:rPr>
          <w:rFonts w:cs="Arial"/>
          <w:bCs/>
        </w:rPr>
        <w:t>.</w:t>
      </w:r>
    </w:p>
    <w:p w14:paraId="5C2C1938" w14:textId="77777777" w:rsidR="00C72AA5" w:rsidRPr="009525C4" w:rsidRDefault="00DD4B4D" w:rsidP="00C72AA5">
      <w:pPr>
        <w:pStyle w:val="ListParagraph"/>
        <w:numPr>
          <w:ilvl w:val="2"/>
          <w:numId w:val="16"/>
        </w:numPr>
        <w:spacing w:after="200" w:line="276" w:lineRule="auto"/>
        <w:rPr>
          <w:rFonts w:cs="Arial"/>
          <w:bCs/>
        </w:rPr>
      </w:pPr>
      <w:r w:rsidRPr="009525C4">
        <w:rPr>
          <w:rFonts w:cs="Arial"/>
          <w:bCs/>
        </w:rPr>
        <w:t xml:space="preserve">The PO must be </w:t>
      </w:r>
      <w:r w:rsidR="00C72AA5" w:rsidRPr="009525C4">
        <w:rPr>
          <w:rFonts w:cs="Arial"/>
          <w:bCs/>
        </w:rPr>
        <w:t>created in the correct entity</w:t>
      </w:r>
      <w:r w:rsidRPr="009525C4">
        <w:rPr>
          <w:rFonts w:cs="Arial"/>
          <w:bCs/>
        </w:rPr>
        <w:t xml:space="preserve"> code</w:t>
      </w:r>
      <w:r w:rsidR="00C72AA5" w:rsidRPr="009525C4">
        <w:rPr>
          <w:rFonts w:cs="Arial"/>
          <w:bCs/>
        </w:rPr>
        <w:t xml:space="preserve"> within the relevant ERP </w:t>
      </w:r>
      <w:proofErr w:type="gramStart"/>
      <w:r w:rsidR="00C72AA5" w:rsidRPr="009525C4">
        <w:rPr>
          <w:rFonts w:cs="Arial"/>
          <w:bCs/>
        </w:rPr>
        <w:t>system(</w:t>
      </w:r>
      <w:proofErr w:type="gramEnd"/>
      <w:r w:rsidR="00C72AA5" w:rsidRPr="009525C4">
        <w:rPr>
          <w:rFonts w:cs="Arial"/>
          <w:bCs/>
        </w:rPr>
        <w:t>M3/QAD)</w:t>
      </w:r>
      <w:r w:rsidRPr="009525C4">
        <w:rPr>
          <w:rFonts w:cs="Arial"/>
          <w:bCs/>
        </w:rPr>
        <w:t xml:space="preserve"> </w:t>
      </w:r>
      <w:r w:rsidR="00C72AA5" w:rsidRPr="009525C4">
        <w:rPr>
          <w:rFonts w:cs="Arial"/>
          <w:bCs/>
        </w:rPr>
        <w:t>and should include the relevant</w:t>
      </w:r>
      <w:r w:rsidRPr="009525C4">
        <w:rPr>
          <w:rFonts w:cs="Arial"/>
          <w:bCs/>
        </w:rPr>
        <w:t xml:space="preserve"> vendor, general ledger, cost centre and project </w:t>
      </w:r>
      <w:r w:rsidR="00C72AA5" w:rsidRPr="009525C4">
        <w:rPr>
          <w:rFonts w:cs="Arial"/>
          <w:bCs/>
        </w:rPr>
        <w:t xml:space="preserve">codes </w:t>
      </w:r>
      <w:r w:rsidRPr="009525C4">
        <w:rPr>
          <w:rFonts w:cs="Arial"/>
          <w:bCs/>
        </w:rPr>
        <w:t xml:space="preserve">where the cost is to be recorded.  </w:t>
      </w:r>
    </w:p>
    <w:p w14:paraId="5C2C1939" w14:textId="77777777" w:rsidR="006A48BE" w:rsidRPr="008D064A" w:rsidRDefault="00A77C7D" w:rsidP="008D064A">
      <w:pPr>
        <w:pStyle w:val="ListParagraph"/>
        <w:numPr>
          <w:ilvl w:val="2"/>
          <w:numId w:val="16"/>
        </w:numPr>
        <w:spacing w:after="200" w:line="276" w:lineRule="auto"/>
        <w:rPr>
          <w:rFonts w:cs="Arial"/>
          <w:bCs/>
        </w:rPr>
      </w:pPr>
      <w:r w:rsidRPr="008D064A">
        <w:rPr>
          <w:rFonts w:cs="Arial"/>
          <w:bCs/>
        </w:rPr>
        <w:t xml:space="preserve">The PO must be submitted to the supplier, who </w:t>
      </w:r>
      <w:r w:rsidRPr="00F355D4">
        <w:rPr>
          <w:rFonts w:cs="Arial"/>
          <w:bCs/>
          <w:u w:val="single"/>
        </w:rPr>
        <w:t>must</w:t>
      </w:r>
      <w:r w:rsidRPr="008D064A">
        <w:rPr>
          <w:rFonts w:cs="Arial"/>
          <w:bCs/>
        </w:rPr>
        <w:t xml:space="preserve"> quote the PO number on their invoice</w:t>
      </w:r>
      <w:r w:rsidR="00D65440">
        <w:rPr>
          <w:rFonts w:cs="Arial"/>
          <w:bCs/>
        </w:rPr>
        <w:t>,</w:t>
      </w:r>
      <w:r w:rsidRPr="008D064A">
        <w:rPr>
          <w:rFonts w:cs="Arial"/>
          <w:bCs/>
        </w:rPr>
        <w:t xml:space="preserve"> in</w:t>
      </w:r>
      <w:r w:rsidR="008D064A">
        <w:rPr>
          <w:rFonts w:cs="Arial"/>
          <w:bCs/>
        </w:rPr>
        <w:t xml:space="preserve"> </w:t>
      </w:r>
      <w:r w:rsidRPr="008D064A">
        <w:rPr>
          <w:rFonts w:cs="Arial"/>
          <w:bCs/>
        </w:rPr>
        <w:t xml:space="preserve">order for it to be processed by </w:t>
      </w:r>
      <w:proofErr w:type="spellStart"/>
      <w:r w:rsidRPr="008D064A">
        <w:rPr>
          <w:rFonts w:cs="Arial"/>
          <w:bCs/>
        </w:rPr>
        <w:t>ColArt’s</w:t>
      </w:r>
      <w:proofErr w:type="spellEnd"/>
      <w:r w:rsidRPr="008D064A">
        <w:rPr>
          <w:rFonts w:cs="Arial"/>
          <w:bCs/>
        </w:rPr>
        <w:t xml:space="preserve"> Accounts Payable team (AP). </w:t>
      </w:r>
      <w:r w:rsidR="00B44639">
        <w:rPr>
          <w:rFonts w:cs="Arial"/>
          <w:bCs/>
        </w:rPr>
        <w:t xml:space="preserve">Invoices without PO numbers will be </w:t>
      </w:r>
      <w:r w:rsidR="004B2422">
        <w:rPr>
          <w:rFonts w:cs="Arial"/>
          <w:bCs/>
        </w:rPr>
        <w:t>forwarded</w:t>
      </w:r>
      <w:r w:rsidR="00B44639">
        <w:rPr>
          <w:rFonts w:cs="Arial"/>
          <w:bCs/>
        </w:rPr>
        <w:t xml:space="preserve"> t</w:t>
      </w:r>
      <w:r w:rsidR="00E370CE">
        <w:rPr>
          <w:rFonts w:cs="Arial"/>
          <w:bCs/>
        </w:rPr>
        <w:t xml:space="preserve">o the </w:t>
      </w:r>
      <w:r w:rsidR="009179B1">
        <w:rPr>
          <w:rFonts w:cs="Arial"/>
          <w:bCs/>
        </w:rPr>
        <w:t>purchasing departments</w:t>
      </w:r>
      <w:r w:rsidR="004B2422">
        <w:rPr>
          <w:rFonts w:cs="Arial"/>
          <w:bCs/>
        </w:rPr>
        <w:t xml:space="preserve"> and </w:t>
      </w:r>
      <w:r w:rsidR="00E370CE">
        <w:rPr>
          <w:rFonts w:cs="Arial"/>
          <w:bCs/>
        </w:rPr>
        <w:t>PO</w:t>
      </w:r>
      <w:r w:rsidR="004B2422">
        <w:rPr>
          <w:rFonts w:cs="Arial"/>
          <w:bCs/>
        </w:rPr>
        <w:t>s</w:t>
      </w:r>
      <w:r w:rsidR="00B44639">
        <w:rPr>
          <w:rFonts w:cs="Arial"/>
          <w:bCs/>
        </w:rPr>
        <w:t xml:space="preserve"> will have to be created</w:t>
      </w:r>
      <w:r w:rsidR="004B2422">
        <w:rPr>
          <w:rFonts w:cs="Arial"/>
          <w:bCs/>
        </w:rPr>
        <w:t xml:space="preserve"> by them</w:t>
      </w:r>
      <w:r w:rsidR="00B44639">
        <w:rPr>
          <w:rFonts w:cs="Arial"/>
          <w:bCs/>
        </w:rPr>
        <w:t xml:space="preserve">. In exceptional cases the GMT member responsible for the department can override this step. </w:t>
      </w:r>
    </w:p>
    <w:p w14:paraId="5C2C193A" w14:textId="77777777" w:rsidR="00E370CE" w:rsidRDefault="00E370CE" w:rsidP="00E370CE">
      <w:pPr>
        <w:pStyle w:val="ListParagraph"/>
        <w:numPr>
          <w:ilvl w:val="2"/>
          <w:numId w:val="16"/>
        </w:numPr>
        <w:spacing w:after="200" w:line="276" w:lineRule="auto"/>
        <w:rPr>
          <w:rFonts w:cs="Arial"/>
          <w:bCs/>
        </w:rPr>
      </w:pPr>
      <w:r w:rsidRPr="008D064A">
        <w:rPr>
          <w:rFonts w:cs="Arial"/>
          <w:bCs/>
        </w:rPr>
        <w:t xml:space="preserve">All POs must be authorised </w:t>
      </w:r>
      <w:r>
        <w:rPr>
          <w:rFonts w:cs="Arial"/>
          <w:bCs/>
        </w:rPr>
        <w:t>in accordance with</w:t>
      </w:r>
      <w:r w:rsidRPr="008D064A">
        <w:rPr>
          <w:rFonts w:cs="Arial"/>
          <w:bCs/>
        </w:rPr>
        <w:t xml:space="preserve"> Appendix 1 to confirm that the expenditure is for</w:t>
      </w:r>
      <w:r>
        <w:rPr>
          <w:rFonts w:cs="Arial"/>
          <w:bCs/>
        </w:rPr>
        <w:t xml:space="preserve"> a</w:t>
      </w:r>
      <w:r w:rsidRPr="008D064A">
        <w:rPr>
          <w:rFonts w:cs="Arial"/>
          <w:bCs/>
        </w:rPr>
        <w:t xml:space="preserve"> legitimate business purpose and the correct codes have been applied.  </w:t>
      </w:r>
    </w:p>
    <w:p w14:paraId="5C2C193B" w14:textId="77777777" w:rsidR="00E370CE" w:rsidRPr="00FA78D8" w:rsidRDefault="00E370CE" w:rsidP="00E370CE">
      <w:pPr>
        <w:pStyle w:val="ListParagraph"/>
        <w:numPr>
          <w:ilvl w:val="2"/>
          <w:numId w:val="16"/>
        </w:numPr>
        <w:spacing w:after="200" w:line="276" w:lineRule="auto"/>
        <w:rPr>
          <w:rFonts w:cs="Arial"/>
          <w:bCs/>
        </w:rPr>
      </w:pPr>
      <w:r w:rsidRPr="00FA78D8">
        <w:t xml:space="preserve">Variation of supplier invoice to original PO: </w:t>
      </w:r>
      <w:r w:rsidR="00FA78D8" w:rsidRPr="00FA78D8">
        <w:t xml:space="preserve">if the </w:t>
      </w:r>
      <w:r w:rsidRPr="00FA78D8">
        <w:t xml:space="preserve">final invoice from the supplier is greater </w:t>
      </w:r>
      <w:r w:rsidR="00FA78D8" w:rsidRPr="00FA78D8">
        <w:t xml:space="preserve">in amount </w:t>
      </w:r>
      <w:r w:rsidRPr="00FA78D8">
        <w:t xml:space="preserve">than the initial purchase order then the approver for the invoice </w:t>
      </w:r>
      <w:r w:rsidRPr="00FA78D8">
        <w:lastRenderedPageBreak/>
        <w:t xml:space="preserve">needs to be notified. They should either query the invoice with the supplier or raise an additional PO for the difference and report the reason for the over-run. </w:t>
      </w:r>
    </w:p>
    <w:p w14:paraId="5C2C193C" w14:textId="77777777" w:rsidR="00C72AA5" w:rsidRPr="009525C4" w:rsidRDefault="00C72AA5" w:rsidP="00C72AA5">
      <w:pPr>
        <w:pStyle w:val="ListParagraph"/>
        <w:spacing w:after="200" w:line="276" w:lineRule="auto"/>
        <w:ind w:left="1080"/>
        <w:rPr>
          <w:rFonts w:cs="Arial"/>
          <w:bCs/>
        </w:rPr>
      </w:pPr>
    </w:p>
    <w:p w14:paraId="5C2C193D" w14:textId="77777777" w:rsidR="00C72AA5" w:rsidRDefault="00A77C7D" w:rsidP="00C72AA5">
      <w:pPr>
        <w:pStyle w:val="ListParagraph"/>
        <w:numPr>
          <w:ilvl w:val="1"/>
          <w:numId w:val="15"/>
        </w:numPr>
        <w:spacing w:after="200" w:line="276" w:lineRule="auto"/>
        <w:rPr>
          <w:rFonts w:cs="Arial"/>
          <w:b/>
          <w:bCs/>
        </w:rPr>
      </w:pPr>
      <w:r w:rsidRPr="009525C4">
        <w:rPr>
          <w:rFonts w:cs="Arial"/>
          <w:b/>
          <w:bCs/>
        </w:rPr>
        <w:t>Vendor set-up</w:t>
      </w:r>
    </w:p>
    <w:p w14:paraId="5C2C193E" w14:textId="77777777" w:rsidR="00080545" w:rsidRPr="009525C4" w:rsidRDefault="00080545" w:rsidP="00080545">
      <w:pPr>
        <w:pStyle w:val="ListParagraph"/>
        <w:spacing w:after="200" w:line="276" w:lineRule="auto"/>
        <w:ind w:left="792"/>
        <w:rPr>
          <w:rFonts w:cs="Arial"/>
          <w:b/>
          <w:bCs/>
        </w:rPr>
      </w:pPr>
    </w:p>
    <w:p w14:paraId="5C2C193F" w14:textId="77777777" w:rsidR="00C72AA5" w:rsidRPr="009525C4" w:rsidRDefault="00A77C7D" w:rsidP="00C72AA5">
      <w:pPr>
        <w:pStyle w:val="ListParagraph"/>
        <w:numPr>
          <w:ilvl w:val="2"/>
          <w:numId w:val="15"/>
        </w:numPr>
        <w:spacing w:after="200" w:line="276" w:lineRule="auto"/>
        <w:ind w:left="1134" w:hanging="708"/>
        <w:rPr>
          <w:rFonts w:cs="Arial"/>
          <w:bCs/>
        </w:rPr>
      </w:pPr>
      <w:r w:rsidRPr="009525C4">
        <w:rPr>
          <w:rFonts w:cs="Arial"/>
          <w:bCs/>
        </w:rPr>
        <w:t>The</w:t>
      </w:r>
      <w:r w:rsidR="00C72AA5" w:rsidRPr="009525C4">
        <w:rPr>
          <w:rFonts w:cs="Arial"/>
          <w:bCs/>
        </w:rPr>
        <w:t xml:space="preserve"> v</w:t>
      </w:r>
      <w:r w:rsidR="00B4056E" w:rsidRPr="009525C4">
        <w:rPr>
          <w:rFonts w:cs="Arial"/>
          <w:bCs/>
        </w:rPr>
        <w:t xml:space="preserve">endor must be set-up on the </w:t>
      </w:r>
      <w:r w:rsidR="00C72AA5" w:rsidRPr="009525C4">
        <w:rPr>
          <w:rFonts w:cs="Arial"/>
          <w:bCs/>
        </w:rPr>
        <w:t xml:space="preserve">accounts payable ledger of the </w:t>
      </w:r>
      <w:r w:rsidR="00B4056E" w:rsidRPr="009525C4">
        <w:rPr>
          <w:rFonts w:cs="Arial"/>
          <w:bCs/>
        </w:rPr>
        <w:t>relevant ERP system (M3/QAD)</w:t>
      </w:r>
      <w:r w:rsidRPr="009525C4">
        <w:rPr>
          <w:rFonts w:cs="Arial"/>
          <w:bCs/>
        </w:rPr>
        <w:t xml:space="preserve"> prior to the PO being raised. </w:t>
      </w:r>
    </w:p>
    <w:p w14:paraId="5C2C1940" w14:textId="77777777" w:rsidR="00D9736A" w:rsidRDefault="00B4056E" w:rsidP="00D9736A">
      <w:pPr>
        <w:pStyle w:val="ListParagraph"/>
        <w:numPr>
          <w:ilvl w:val="2"/>
          <w:numId w:val="15"/>
        </w:numPr>
        <w:spacing w:after="200" w:line="276" w:lineRule="auto"/>
        <w:ind w:left="1134" w:hanging="708"/>
        <w:rPr>
          <w:rFonts w:cs="Arial"/>
          <w:bCs/>
        </w:rPr>
      </w:pPr>
      <w:r w:rsidRPr="009525C4">
        <w:rPr>
          <w:rFonts w:cs="Arial"/>
          <w:bCs/>
        </w:rPr>
        <w:t xml:space="preserve">A new vendor </w:t>
      </w:r>
      <w:r w:rsidR="00C72AA5" w:rsidRPr="009525C4">
        <w:rPr>
          <w:rFonts w:cs="Arial"/>
          <w:bCs/>
        </w:rPr>
        <w:t xml:space="preserve">set-up request including </w:t>
      </w:r>
      <w:r w:rsidR="00A77C7D" w:rsidRPr="009525C4">
        <w:rPr>
          <w:rFonts w:cs="Arial"/>
          <w:bCs/>
        </w:rPr>
        <w:t xml:space="preserve">details </w:t>
      </w:r>
      <w:r w:rsidR="00C72AA5" w:rsidRPr="009525C4">
        <w:rPr>
          <w:rFonts w:cs="Arial"/>
          <w:bCs/>
        </w:rPr>
        <w:t>of</w:t>
      </w:r>
      <w:r w:rsidR="00A77C7D" w:rsidRPr="009525C4">
        <w:rPr>
          <w:rFonts w:cs="Arial"/>
          <w:bCs/>
        </w:rPr>
        <w:t xml:space="preserve"> supplier name, address, company and VAT registration numbers, </w:t>
      </w:r>
      <w:r w:rsidR="00D9736A">
        <w:rPr>
          <w:rFonts w:cs="Arial"/>
          <w:bCs/>
        </w:rPr>
        <w:t>credit</w:t>
      </w:r>
      <w:r w:rsidR="00D9736A" w:rsidRPr="009525C4">
        <w:rPr>
          <w:rFonts w:cs="Arial"/>
          <w:bCs/>
        </w:rPr>
        <w:t xml:space="preserve"> </w:t>
      </w:r>
      <w:r w:rsidR="00A77C7D" w:rsidRPr="009525C4">
        <w:rPr>
          <w:rFonts w:cs="Arial"/>
          <w:bCs/>
        </w:rPr>
        <w:t xml:space="preserve">terms and bank account </w:t>
      </w:r>
      <w:r w:rsidR="00C72AA5" w:rsidRPr="009525C4">
        <w:rPr>
          <w:rFonts w:cs="Arial"/>
          <w:bCs/>
        </w:rPr>
        <w:t>must be provided to AP.</w:t>
      </w:r>
      <w:r w:rsidR="00D9736A" w:rsidRPr="00D9736A">
        <w:rPr>
          <w:rFonts w:cs="Arial"/>
          <w:bCs/>
        </w:rPr>
        <w:t xml:space="preserve"> </w:t>
      </w:r>
    </w:p>
    <w:p w14:paraId="5C2C1941" w14:textId="77777777" w:rsidR="00A77C7D" w:rsidRPr="00F355D4" w:rsidRDefault="00D9736A" w:rsidP="00D9736A">
      <w:pPr>
        <w:pStyle w:val="ListParagraph"/>
        <w:numPr>
          <w:ilvl w:val="2"/>
          <w:numId w:val="15"/>
        </w:numPr>
        <w:spacing w:after="200" w:line="276" w:lineRule="auto"/>
        <w:ind w:left="1134" w:hanging="708"/>
        <w:rPr>
          <w:rFonts w:cs="Arial"/>
          <w:b/>
          <w:bCs/>
        </w:rPr>
      </w:pPr>
      <w:r w:rsidRPr="00F355D4">
        <w:rPr>
          <w:rFonts w:cs="Arial"/>
          <w:b/>
          <w:bCs/>
        </w:rPr>
        <w:t>The vendor credit terms must be at least 30 days from date of invoice.</w:t>
      </w:r>
    </w:p>
    <w:p w14:paraId="5C2C1942" w14:textId="77777777" w:rsidR="00FB62FB" w:rsidRDefault="00C72AA5" w:rsidP="009525C4">
      <w:pPr>
        <w:pStyle w:val="ListParagraph"/>
        <w:numPr>
          <w:ilvl w:val="2"/>
          <w:numId w:val="15"/>
        </w:numPr>
        <w:spacing w:after="200" w:line="276" w:lineRule="auto"/>
        <w:ind w:left="1134" w:hanging="708"/>
        <w:rPr>
          <w:rFonts w:cs="Arial"/>
          <w:bCs/>
        </w:rPr>
      </w:pPr>
      <w:r w:rsidRPr="009525C4">
        <w:rPr>
          <w:rFonts w:cs="Arial"/>
          <w:bCs/>
        </w:rPr>
        <w:t>The vendor set-up request must be approved by the manager of the purchasing department</w:t>
      </w:r>
      <w:r w:rsidR="00FA78D8">
        <w:rPr>
          <w:rFonts w:cs="Arial"/>
          <w:bCs/>
        </w:rPr>
        <w:t xml:space="preserve">. </w:t>
      </w:r>
    </w:p>
    <w:p w14:paraId="5C2C1943" w14:textId="77777777" w:rsidR="009525C4" w:rsidRPr="00FB62FB" w:rsidRDefault="00FA78D8" w:rsidP="009525C4">
      <w:pPr>
        <w:pStyle w:val="ListParagraph"/>
        <w:numPr>
          <w:ilvl w:val="2"/>
          <w:numId w:val="15"/>
        </w:numPr>
        <w:spacing w:after="200" w:line="276" w:lineRule="auto"/>
        <w:ind w:left="1134" w:hanging="708"/>
        <w:rPr>
          <w:rFonts w:cs="Arial"/>
          <w:bCs/>
        </w:rPr>
      </w:pPr>
      <w:r w:rsidRPr="00FB62FB">
        <w:rPr>
          <w:rFonts w:cs="Arial"/>
          <w:bCs/>
        </w:rPr>
        <w:t xml:space="preserve">Any personal or business relationship of the </w:t>
      </w:r>
      <w:r w:rsidR="00FB62FB" w:rsidRPr="00FB62FB">
        <w:rPr>
          <w:rFonts w:cs="Arial"/>
          <w:bCs/>
        </w:rPr>
        <w:t xml:space="preserve">proposed </w:t>
      </w:r>
      <w:r w:rsidRPr="00FB62FB">
        <w:rPr>
          <w:rFonts w:cs="Arial"/>
          <w:bCs/>
        </w:rPr>
        <w:t xml:space="preserve">vendor with </w:t>
      </w:r>
      <w:r w:rsidR="00FB62FB" w:rsidRPr="00FB62FB">
        <w:rPr>
          <w:rFonts w:cs="Arial"/>
          <w:bCs/>
        </w:rPr>
        <w:t xml:space="preserve">a </w:t>
      </w:r>
      <w:proofErr w:type="spellStart"/>
      <w:r w:rsidR="00FB62FB" w:rsidRPr="00FB62FB">
        <w:rPr>
          <w:rFonts w:cs="Arial"/>
          <w:bCs/>
        </w:rPr>
        <w:t>Colart</w:t>
      </w:r>
      <w:proofErr w:type="spellEnd"/>
      <w:r w:rsidR="00FB62FB" w:rsidRPr="00FB62FB">
        <w:rPr>
          <w:rFonts w:cs="Arial"/>
          <w:bCs/>
        </w:rPr>
        <w:t xml:space="preserve"> employee must be disclosed and signed-off by the manager.</w:t>
      </w:r>
    </w:p>
    <w:p w14:paraId="5C2C1944" w14:textId="77777777" w:rsidR="00D9736A" w:rsidRDefault="00D9736A" w:rsidP="009525C4">
      <w:pPr>
        <w:pStyle w:val="ListParagraph"/>
        <w:numPr>
          <w:ilvl w:val="2"/>
          <w:numId w:val="15"/>
        </w:numPr>
        <w:spacing w:after="200" w:line="276" w:lineRule="auto"/>
        <w:ind w:left="1134" w:hanging="708"/>
        <w:rPr>
          <w:rFonts w:cs="Arial"/>
          <w:bCs/>
        </w:rPr>
      </w:pPr>
      <w:r>
        <w:rPr>
          <w:rFonts w:cs="Arial"/>
          <w:bCs/>
        </w:rPr>
        <w:t>Any changes to vendor bank account details must be submitted to AP in writing on the vendor’s letter headed paper. AP will contact the vendor to confirm the details prior to amending them on the ERP system.</w:t>
      </w:r>
    </w:p>
    <w:p w14:paraId="5C2C1945" w14:textId="77777777" w:rsidR="00080545" w:rsidRDefault="00080545" w:rsidP="00080545">
      <w:pPr>
        <w:pStyle w:val="ListParagraph"/>
        <w:spacing w:after="200" w:line="276" w:lineRule="auto"/>
        <w:ind w:left="1134"/>
        <w:rPr>
          <w:rFonts w:cs="Arial"/>
          <w:bCs/>
        </w:rPr>
      </w:pPr>
    </w:p>
    <w:p w14:paraId="5C2C1946" w14:textId="77777777" w:rsidR="009525C4" w:rsidRDefault="00A77C7D" w:rsidP="00A77C7D">
      <w:pPr>
        <w:pStyle w:val="ListParagraph"/>
        <w:numPr>
          <w:ilvl w:val="1"/>
          <w:numId w:val="15"/>
        </w:numPr>
        <w:spacing w:after="200" w:line="276" w:lineRule="auto"/>
        <w:rPr>
          <w:rFonts w:cs="Arial"/>
          <w:b/>
          <w:bCs/>
        </w:rPr>
      </w:pPr>
      <w:r w:rsidRPr="00080545">
        <w:rPr>
          <w:rFonts w:cs="Arial"/>
          <w:b/>
          <w:bCs/>
        </w:rPr>
        <w:t>Vendor invoice processing</w:t>
      </w:r>
    </w:p>
    <w:p w14:paraId="5C2C1947" w14:textId="77777777" w:rsidR="00080545" w:rsidRPr="00080545" w:rsidRDefault="00080545" w:rsidP="00080545">
      <w:pPr>
        <w:pStyle w:val="ListParagraph"/>
        <w:spacing w:after="200" w:line="276" w:lineRule="auto"/>
        <w:ind w:left="792"/>
        <w:rPr>
          <w:rFonts w:cs="Arial"/>
          <w:b/>
          <w:bCs/>
        </w:rPr>
      </w:pPr>
    </w:p>
    <w:p w14:paraId="5C2C1948" w14:textId="77777777" w:rsidR="009525C4" w:rsidRPr="009525C4" w:rsidRDefault="00A77C7D" w:rsidP="00A77C7D">
      <w:pPr>
        <w:pStyle w:val="ListParagraph"/>
        <w:numPr>
          <w:ilvl w:val="2"/>
          <w:numId w:val="15"/>
        </w:numPr>
        <w:spacing w:after="200" w:line="276" w:lineRule="auto"/>
        <w:ind w:left="1134" w:hanging="708"/>
        <w:rPr>
          <w:rFonts w:cs="Arial"/>
          <w:bCs/>
        </w:rPr>
      </w:pPr>
      <w:r w:rsidRPr="00080545">
        <w:rPr>
          <w:rFonts w:cs="Arial"/>
          <w:bCs/>
        </w:rPr>
        <w:t xml:space="preserve">Once the </w:t>
      </w:r>
      <w:r w:rsidR="0060083C" w:rsidRPr="00080545">
        <w:rPr>
          <w:rFonts w:cs="Arial"/>
          <w:bCs/>
        </w:rPr>
        <w:t>product or service has</w:t>
      </w:r>
      <w:r w:rsidRPr="00080545">
        <w:rPr>
          <w:rFonts w:cs="Arial"/>
          <w:bCs/>
        </w:rPr>
        <w:t xml:space="preserve"> been delivered, the </w:t>
      </w:r>
      <w:r w:rsidR="002641E1">
        <w:rPr>
          <w:rFonts w:cs="Arial"/>
          <w:bCs/>
        </w:rPr>
        <w:t>owner</w:t>
      </w:r>
      <w:r w:rsidR="002641E1" w:rsidRPr="00080545">
        <w:rPr>
          <w:rFonts w:cs="Arial"/>
          <w:bCs/>
        </w:rPr>
        <w:t xml:space="preserve"> </w:t>
      </w:r>
      <w:r w:rsidRPr="00080545">
        <w:rPr>
          <w:rFonts w:cs="Arial"/>
          <w:bCs/>
        </w:rPr>
        <w:t xml:space="preserve">of the PO should ‘receipt’ it in the </w:t>
      </w:r>
      <w:r w:rsidR="0060083C" w:rsidRPr="00080545">
        <w:rPr>
          <w:rFonts w:cs="Arial"/>
          <w:bCs/>
        </w:rPr>
        <w:t xml:space="preserve">ERP </w:t>
      </w:r>
      <w:r w:rsidRPr="00080545">
        <w:rPr>
          <w:rFonts w:cs="Arial"/>
          <w:bCs/>
        </w:rPr>
        <w:t>system</w:t>
      </w:r>
      <w:r w:rsidR="0060083C" w:rsidRPr="00080545">
        <w:rPr>
          <w:rFonts w:cs="Arial"/>
          <w:bCs/>
        </w:rPr>
        <w:t xml:space="preserve"> (M3/QAD)</w:t>
      </w:r>
      <w:r w:rsidRPr="00080545">
        <w:rPr>
          <w:rFonts w:cs="Arial"/>
          <w:bCs/>
        </w:rPr>
        <w:t xml:space="preserve">. This action will </w:t>
      </w:r>
      <w:r w:rsidR="0060083C" w:rsidRPr="00080545">
        <w:rPr>
          <w:rFonts w:cs="Arial"/>
          <w:bCs/>
        </w:rPr>
        <w:t>record</w:t>
      </w:r>
      <w:r w:rsidRPr="00080545">
        <w:rPr>
          <w:rFonts w:cs="Arial"/>
          <w:bCs/>
        </w:rPr>
        <w:t xml:space="preserve"> </w:t>
      </w:r>
      <w:r w:rsidR="0060083C" w:rsidRPr="00080545">
        <w:rPr>
          <w:rFonts w:cs="Arial"/>
          <w:bCs/>
        </w:rPr>
        <w:t xml:space="preserve">the </w:t>
      </w:r>
      <w:r w:rsidRPr="00080545">
        <w:rPr>
          <w:rFonts w:cs="Arial"/>
          <w:bCs/>
        </w:rPr>
        <w:t xml:space="preserve">cost </w:t>
      </w:r>
      <w:r w:rsidR="0060083C" w:rsidRPr="00080545">
        <w:rPr>
          <w:rFonts w:cs="Arial"/>
          <w:bCs/>
        </w:rPr>
        <w:t xml:space="preserve">in the relevant entity, general ledger, costs centre and project codes against which the </w:t>
      </w:r>
      <w:r w:rsidR="009525C4" w:rsidRPr="00080545">
        <w:rPr>
          <w:rFonts w:cs="Arial"/>
          <w:bCs/>
        </w:rPr>
        <w:t>PO had been raised.</w:t>
      </w:r>
    </w:p>
    <w:p w14:paraId="5C2C1949" w14:textId="77777777" w:rsidR="009525C4" w:rsidRDefault="0060083C" w:rsidP="0060083C">
      <w:pPr>
        <w:pStyle w:val="ListParagraph"/>
        <w:numPr>
          <w:ilvl w:val="2"/>
          <w:numId w:val="15"/>
        </w:numPr>
        <w:spacing w:after="200" w:line="276" w:lineRule="auto"/>
        <w:ind w:left="1134" w:hanging="708"/>
        <w:rPr>
          <w:rFonts w:cs="Arial"/>
          <w:bCs/>
        </w:rPr>
      </w:pPr>
      <w:r w:rsidRPr="00080545">
        <w:rPr>
          <w:rFonts w:cs="Arial"/>
          <w:bCs/>
        </w:rPr>
        <w:t>This will also effectively provide authorisation</w:t>
      </w:r>
      <w:r w:rsidR="00A77C7D" w:rsidRPr="00080545">
        <w:rPr>
          <w:rFonts w:cs="Arial"/>
          <w:bCs/>
        </w:rPr>
        <w:t xml:space="preserve"> </w:t>
      </w:r>
      <w:r w:rsidR="00D6101F" w:rsidRPr="00080545">
        <w:rPr>
          <w:rFonts w:cs="Arial"/>
          <w:bCs/>
        </w:rPr>
        <w:t xml:space="preserve">to </w:t>
      </w:r>
      <w:r w:rsidR="009525C4" w:rsidRPr="00080545">
        <w:rPr>
          <w:rFonts w:cs="Arial"/>
          <w:bCs/>
        </w:rPr>
        <w:t xml:space="preserve">process and </w:t>
      </w:r>
      <w:r w:rsidR="00D6101F" w:rsidRPr="00080545">
        <w:rPr>
          <w:rFonts w:cs="Arial"/>
          <w:bCs/>
        </w:rPr>
        <w:t>pay</w:t>
      </w:r>
      <w:r w:rsidRPr="00080545">
        <w:rPr>
          <w:rFonts w:cs="Arial"/>
          <w:bCs/>
        </w:rPr>
        <w:t xml:space="preserve"> the invoice when it is received.</w:t>
      </w:r>
    </w:p>
    <w:p w14:paraId="5C2C194A" w14:textId="77777777" w:rsidR="004B2422" w:rsidRDefault="002641E1" w:rsidP="004B2422">
      <w:pPr>
        <w:pStyle w:val="ListParagraph"/>
        <w:numPr>
          <w:ilvl w:val="2"/>
          <w:numId w:val="15"/>
        </w:numPr>
        <w:spacing w:after="200" w:line="276" w:lineRule="auto"/>
        <w:ind w:left="1134" w:hanging="708"/>
        <w:rPr>
          <w:rFonts w:cs="Arial"/>
          <w:bCs/>
        </w:rPr>
      </w:pPr>
      <w:r>
        <w:rPr>
          <w:rFonts w:cs="Arial"/>
          <w:bCs/>
        </w:rPr>
        <w:t xml:space="preserve">AP will send out a list of </w:t>
      </w:r>
      <w:proofErr w:type="spellStart"/>
      <w:r>
        <w:rPr>
          <w:rFonts w:cs="Arial"/>
          <w:bCs/>
        </w:rPr>
        <w:t>unreceipted</w:t>
      </w:r>
      <w:proofErr w:type="spellEnd"/>
      <w:r>
        <w:rPr>
          <w:rFonts w:cs="Arial"/>
          <w:bCs/>
        </w:rPr>
        <w:t xml:space="preserve"> POs on a monthly basis. It is the responsibility of the PO owners </w:t>
      </w:r>
      <w:r w:rsidR="004749EA">
        <w:rPr>
          <w:rFonts w:cs="Arial"/>
          <w:bCs/>
        </w:rPr>
        <w:t xml:space="preserve">to </w:t>
      </w:r>
      <w:r>
        <w:rPr>
          <w:rFonts w:cs="Arial"/>
          <w:bCs/>
        </w:rPr>
        <w:t>receipt or cancel these POs</w:t>
      </w:r>
      <w:r w:rsidR="004749EA">
        <w:rPr>
          <w:rFonts w:cs="Arial"/>
          <w:bCs/>
        </w:rPr>
        <w:t xml:space="preserve"> as required.</w:t>
      </w:r>
    </w:p>
    <w:p w14:paraId="5C2C194B" w14:textId="77777777" w:rsidR="009179B1" w:rsidRDefault="009525C4" w:rsidP="004B2422">
      <w:pPr>
        <w:pStyle w:val="ListParagraph"/>
        <w:numPr>
          <w:ilvl w:val="2"/>
          <w:numId w:val="15"/>
        </w:numPr>
        <w:spacing w:after="200" w:line="276" w:lineRule="auto"/>
        <w:ind w:left="1134" w:hanging="708"/>
        <w:rPr>
          <w:rFonts w:cs="Arial"/>
          <w:bCs/>
        </w:rPr>
      </w:pPr>
      <w:r w:rsidRPr="004B2422">
        <w:rPr>
          <w:rFonts w:cs="Arial"/>
          <w:bCs/>
        </w:rPr>
        <w:t>Invoices</w:t>
      </w:r>
      <w:r w:rsidR="004B2422" w:rsidRPr="004B2422">
        <w:rPr>
          <w:rFonts w:cs="Arial"/>
          <w:bCs/>
        </w:rPr>
        <w:t xml:space="preserve"> for </w:t>
      </w:r>
      <w:proofErr w:type="spellStart"/>
      <w:r w:rsidR="009179B1">
        <w:rPr>
          <w:rFonts w:cs="Arial"/>
          <w:bCs/>
        </w:rPr>
        <w:t>Colart</w:t>
      </w:r>
      <w:proofErr w:type="spellEnd"/>
      <w:r w:rsidR="009179B1">
        <w:rPr>
          <w:rFonts w:cs="Arial"/>
          <w:bCs/>
        </w:rPr>
        <w:t xml:space="preserve"> Fine Art and Graphics Limited and </w:t>
      </w:r>
      <w:proofErr w:type="spellStart"/>
      <w:r w:rsidR="009179B1">
        <w:rPr>
          <w:rFonts w:cs="Arial"/>
          <w:bCs/>
        </w:rPr>
        <w:t>Colart</w:t>
      </w:r>
      <w:proofErr w:type="spellEnd"/>
      <w:r w:rsidR="009179B1">
        <w:rPr>
          <w:rFonts w:cs="Arial"/>
          <w:bCs/>
        </w:rPr>
        <w:t xml:space="preserve"> Contract Manufacturing Limited </w:t>
      </w:r>
      <w:r w:rsidR="004B2422" w:rsidRPr="004B2422">
        <w:rPr>
          <w:rFonts w:cs="Arial"/>
          <w:bCs/>
        </w:rPr>
        <w:t xml:space="preserve">must be addressed to </w:t>
      </w:r>
      <w:r w:rsidR="0060083C" w:rsidRPr="004B2422">
        <w:rPr>
          <w:rFonts w:cs="Arial"/>
          <w:bCs/>
        </w:rPr>
        <w:t xml:space="preserve">The Accounts Payable Department, </w:t>
      </w:r>
      <w:proofErr w:type="spellStart"/>
      <w:r w:rsidR="0060083C" w:rsidRPr="004B2422">
        <w:rPr>
          <w:rFonts w:cs="Arial"/>
          <w:bCs/>
        </w:rPr>
        <w:t>Goldthorn</w:t>
      </w:r>
      <w:proofErr w:type="spellEnd"/>
      <w:r w:rsidR="0060083C" w:rsidRPr="004B2422">
        <w:rPr>
          <w:rFonts w:cs="Arial"/>
          <w:bCs/>
        </w:rPr>
        <w:t xml:space="preserve"> Road, Kidderminster DY11 7JN</w:t>
      </w:r>
      <w:r w:rsidR="009179B1">
        <w:rPr>
          <w:rFonts w:cs="Arial"/>
          <w:bCs/>
        </w:rPr>
        <w:t>.</w:t>
      </w:r>
    </w:p>
    <w:p w14:paraId="5C2C194C" w14:textId="77777777" w:rsidR="009179B1" w:rsidRDefault="009179B1" w:rsidP="009179B1">
      <w:pPr>
        <w:pStyle w:val="ListParagraph"/>
        <w:spacing w:after="200" w:line="276" w:lineRule="auto"/>
        <w:ind w:left="1134"/>
        <w:rPr>
          <w:rFonts w:cs="Arial"/>
          <w:bCs/>
        </w:rPr>
      </w:pPr>
    </w:p>
    <w:p w14:paraId="5C2C194D" w14:textId="77777777" w:rsidR="004B2422" w:rsidRDefault="009179B1" w:rsidP="009179B1">
      <w:pPr>
        <w:pStyle w:val="ListParagraph"/>
        <w:spacing w:after="200" w:line="276" w:lineRule="auto"/>
        <w:ind w:left="1134"/>
        <w:rPr>
          <w:rFonts w:cs="Arial"/>
          <w:bCs/>
        </w:rPr>
      </w:pPr>
      <w:r>
        <w:rPr>
          <w:rFonts w:cs="Arial"/>
          <w:bCs/>
        </w:rPr>
        <w:t xml:space="preserve">Invoices </w:t>
      </w:r>
      <w:r w:rsidR="004B2422" w:rsidRPr="004B2422">
        <w:rPr>
          <w:rFonts w:cs="Arial"/>
          <w:bCs/>
        </w:rPr>
        <w:t xml:space="preserve">for </w:t>
      </w:r>
      <w:proofErr w:type="spellStart"/>
      <w:r w:rsidR="004B2422" w:rsidRPr="004B2422">
        <w:rPr>
          <w:rFonts w:cs="Arial"/>
          <w:bCs/>
        </w:rPr>
        <w:t>Colart</w:t>
      </w:r>
      <w:proofErr w:type="spellEnd"/>
      <w:r w:rsidR="004B2422" w:rsidRPr="004B2422">
        <w:rPr>
          <w:rFonts w:cs="Arial"/>
          <w:bCs/>
        </w:rPr>
        <w:t xml:space="preserve"> International Holdings Limited must be addressed to</w:t>
      </w:r>
      <w:r w:rsidR="0060083C" w:rsidRPr="004B2422">
        <w:rPr>
          <w:rFonts w:cs="Arial"/>
          <w:bCs/>
        </w:rPr>
        <w:t xml:space="preserve"> </w:t>
      </w:r>
      <w:r w:rsidR="004B2422" w:rsidRPr="004B2422">
        <w:rPr>
          <w:rFonts w:cs="Arial"/>
          <w:bCs/>
        </w:rPr>
        <w:t xml:space="preserve">The Accounts Payable department, </w:t>
      </w:r>
      <w:r>
        <w:rPr>
          <w:rFonts w:cs="Arial"/>
          <w:bCs/>
        </w:rPr>
        <w:t>The Studio Building, </w:t>
      </w:r>
      <w:r w:rsidR="004B2422" w:rsidRPr="004B2422">
        <w:rPr>
          <w:rFonts w:cs="Arial"/>
          <w:bCs/>
        </w:rPr>
        <w:t>21 Evesham Street</w:t>
      </w:r>
      <w:r>
        <w:rPr>
          <w:rFonts w:cs="Arial"/>
          <w:bCs/>
        </w:rPr>
        <w:t>, </w:t>
      </w:r>
      <w:r w:rsidR="004B2422" w:rsidRPr="004B2422">
        <w:rPr>
          <w:rFonts w:cs="Arial"/>
          <w:bCs/>
        </w:rPr>
        <w:t>London</w:t>
      </w:r>
      <w:r>
        <w:rPr>
          <w:rFonts w:cs="Arial"/>
          <w:bCs/>
        </w:rPr>
        <w:t>, </w:t>
      </w:r>
      <w:r w:rsidR="004B2422" w:rsidRPr="004B2422">
        <w:rPr>
          <w:rFonts w:cs="Arial"/>
          <w:bCs/>
        </w:rPr>
        <w:t>W11 4AJ</w:t>
      </w:r>
      <w:r w:rsidR="004B2422">
        <w:rPr>
          <w:rFonts w:cs="Arial"/>
          <w:bCs/>
        </w:rPr>
        <w:t>.</w:t>
      </w:r>
    </w:p>
    <w:p w14:paraId="5C2C194E" w14:textId="77777777" w:rsidR="009179B1" w:rsidRPr="004B2422" w:rsidRDefault="009179B1" w:rsidP="009179B1">
      <w:pPr>
        <w:pStyle w:val="ListParagraph"/>
        <w:spacing w:after="200" w:line="276" w:lineRule="auto"/>
        <w:ind w:left="1134"/>
        <w:rPr>
          <w:rFonts w:cs="Arial"/>
          <w:bCs/>
        </w:rPr>
      </w:pPr>
    </w:p>
    <w:p w14:paraId="5C2C194F" w14:textId="77777777" w:rsidR="009179B1" w:rsidRDefault="00D6101F" w:rsidP="009179B1">
      <w:pPr>
        <w:pStyle w:val="ListParagraph"/>
        <w:spacing w:after="200" w:line="276" w:lineRule="auto"/>
        <w:ind w:left="1134"/>
        <w:rPr>
          <w:rFonts w:cs="Arial"/>
          <w:bCs/>
        </w:rPr>
      </w:pPr>
      <w:r w:rsidRPr="00080545">
        <w:rPr>
          <w:rFonts w:cs="Arial"/>
          <w:bCs/>
        </w:rPr>
        <w:t xml:space="preserve">Electronic copies of invoices </w:t>
      </w:r>
      <w:r w:rsidR="00D4406D">
        <w:rPr>
          <w:rFonts w:cs="Arial"/>
          <w:bCs/>
        </w:rPr>
        <w:t xml:space="preserve">and any queries </w:t>
      </w:r>
      <w:r w:rsidRPr="00080545">
        <w:rPr>
          <w:rFonts w:cs="Arial"/>
          <w:bCs/>
        </w:rPr>
        <w:t xml:space="preserve">can be emailed to </w:t>
      </w:r>
      <w:hyperlink r:id="rId12" w:history="1">
        <w:r w:rsidRPr="00080545">
          <w:rPr>
            <w:rFonts w:cs="Arial"/>
            <w:bCs/>
          </w:rPr>
          <w:t>B.Ledger@colart.co.uk</w:t>
        </w:r>
      </w:hyperlink>
      <w:r w:rsidRPr="00080545">
        <w:rPr>
          <w:rFonts w:cs="Arial"/>
          <w:bCs/>
        </w:rPr>
        <w:t>.</w:t>
      </w:r>
    </w:p>
    <w:p w14:paraId="5C2C1950" w14:textId="77777777" w:rsidR="009179B1" w:rsidRDefault="009179B1" w:rsidP="009179B1">
      <w:pPr>
        <w:pStyle w:val="ListParagraph"/>
        <w:spacing w:after="200" w:line="276" w:lineRule="auto"/>
        <w:ind w:left="1134"/>
        <w:rPr>
          <w:rFonts w:cs="Arial"/>
          <w:bCs/>
        </w:rPr>
      </w:pPr>
    </w:p>
    <w:p w14:paraId="5C2C1951" w14:textId="77777777" w:rsidR="009179B1" w:rsidRPr="009179B1" w:rsidRDefault="00B44639" w:rsidP="009179B1">
      <w:pPr>
        <w:pStyle w:val="ListParagraph"/>
        <w:numPr>
          <w:ilvl w:val="2"/>
          <w:numId w:val="15"/>
        </w:numPr>
        <w:spacing w:after="200" w:line="276" w:lineRule="auto"/>
        <w:ind w:left="1134" w:hanging="708"/>
        <w:rPr>
          <w:rFonts w:cs="Arial"/>
          <w:bCs/>
        </w:rPr>
      </w:pPr>
      <w:r w:rsidRPr="009179B1">
        <w:rPr>
          <w:rFonts w:cs="Arial"/>
          <w:bCs/>
        </w:rPr>
        <w:t>Invoices for all other ColArt entities should be addressed to their specific legal addresses</w:t>
      </w:r>
      <w:r w:rsidR="00B96EF4" w:rsidRPr="009179B1">
        <w:rPr>
          <w:rFonts w:cs="Arial"/>
          <w:bCs/>
        </w:rPr>
        <w:t>.</w:t>
      </w:r>
    </w:p>
    <w:p w14:paraId="5C2C1952" w14:textId="77777777" w:rsidR="009525C4" w:rsidRPr="00080545" w:rsidRDefault="00D6101F" w:rsidP="00080545">
      <w:pPr>
        <w:pStyle w:val="ListParagraph"/>
        <w:numPr>
          <w:ilvl w:val="2"/>
          <w:numId w:val="15"/>
        </w:numPr>
        <w:spacing w:after="200" w:line="276" w:lineRule="auto"/>
        <w:ind w:left="1134" w:hanging="708"/>
        <w:rPr>
          <w:rFonts w:cs="Arial"/>
          <w:bCs/>
        </w:rPr>
      </w:pPr>
      <w:r w:rsidRPr="00080545">
        <w:rPr>
          <w:rFonts w:cs="Arial"/>
          <w:bCs/>
        </w:rPr>
        <w:t>Any i</w:t>
      </w:r>
      <w:r w:rsidR="00A77C7D" w:rsidRPr="00080545">
        <w:rPr>
          <w:rFonts w:cs="Arial"/>
          <w:bCs/>
        </w:rPr>
        <w:t xml:space="preserve">nvoices received by </w:t>
      </w:r>
      <w:r w:rsidRPr="00080545">
        <w:rPr>
          <w:rFonts w:cs="Arial"/>
          <w:bCs/>
        </w:rPr>
        <w:t xml:space="preserve">the </w:t>
      </w:r>
      <w:r w:rsidR="009525C4" w:rsidRPr="00080545">
        <w:rPr>
          <w:rFonts w:cs="Arial"/>
          <w:bCs/>
        </w:rPr>
        <w:t>purchasing</w:t>
      </w:r>
      <w:r w:rsidRPr="00080545">
        <w:rPr>
          <w:rFonts w:cs="Arial"/>
          <w:bCs/>
        </w:rPr>
        <w:t xml:space="preserve"> departments</w:t>
      </w:r>
      <w:r w:rsidR="00A77C7D" w:rsidRPr="00080545">
        <w:rPr>
          <w:rFonts w:cs="Arial"/>
          <w:bCs/>
        </w:rPr>
        <w:t xml:space="preserve"> must </w:t>
      </w:r>
      <w:r w:rsidRPr="00080545">
        <w:rPr>
          <w:rFonts w:cs="Arial"/>
          <w:bCs/>
        </w:rPr>
        <w:t>be forwarded to</w:t>
      </w:r>
      <w:r w:rsidR="00A77C7D" w:rsidRPr="00080545">
        <w:rPr>
          <w:rFonts w:cs="Arial"/>
          <w:bCs/>
        </w:rPr>
        <w:t xml:space="preserve"> </w:t>
      </w:r>
      <w:r w:rsidR="009179B1">
        <w:rPr>
          <w:rFonts w:cs="Arial"/>
          <w:bCs/>
        </w:rPr>
        <w:t xml:space="preserve">the correct </w:t>
      </w:r>
      <w:r w:rsidR="00A77C7D" w:rsidRPr="00080545">
        <w:rPr>
          <w:rFonts w:cs="Arial"/>
          <w:bCs/>
        </w:rPr>
        <w:t xml:space="preserve">AP </w:t>
      </w:r>
      <w:r w:rsidR="009179B1">
        <w:rPr>
          <w:rFonts w:cs="Arial"/>
          <w:bCs/>
        </w:rPr>
        <w:t xml:space="preserve">location </w:t>
      </w:r>
      <w:r w:rsidR="00A77C7D" w:rsidRPr="00080545">
        <w:rPr>
          <w:rFonts w:cs="Arial"/>
          <w:bCs/>
        </w:rPr>
        <w:t>immediately and the</w:t>
      </w:r>
      <w:r w:rsidR="009525C4" w:rsidRPr="00080545">
        <w:rPr>
          <w:rFonts w:cs="Arial"/>
          <w:bCs/>
        </w:rPr>
        <w:t xml:space="preserve">y must inform the </w:t>
      </w:r>
      <w:r w:rsidR="00A77C7D" w:rsidRPr="00080545">
        <w:rPr>
          <w:rFonts w:cs="Arial"/>
          <w:bCs/>
        </w:rPr>
        <w:t xml:space="preserve">suppliers of the correct </w:t>
      </w:r>
      <w:r w:rsidRPr="00080545">
        <w:rPr>
          <w:rFonts w:cs="Arial"/>
          <w:bCs/>
        </w:rPr>
        <w:t>AP</w:t>
      </w:r>
      <w:r w:rsidR="00A77C7D" w:rsidRPr="00080545">
        <w:rPr>
          <w:rFonts w:cs="Arial"/>
          <w:bCs/>
        </w:rPr>
        <w:t xml:space="preserve"> </w:t>
      </w:r>
      <w:r w:rsidRPr="00080545">
        <w:rPr>
          <w:rFonts w:cs="Arial"/>
          <w:bCs/>
        </w:rPr>
        <w:t xml:space="preserve">postal and email </w:t>
      </w:r>
      <w:r w:rsidR="00A77C7D" w:rsidRPr="00080545">
        <w:rPr>
          <w:rFonts w:cs="Arial"/>
          <w:bCs/>
        </w:rPr>
        <w:t>address</w:t>
      </w:r>
      <w:r w:rsidRPr="00080545">
        <w:rPr>
          <w:rFonts w:cs="Arial"/>
          <w:bCs/>
        </w:rPr>
        <w:t>es</w:t>
      </w:r>
      <w:r w:rsidR="009525C4" w:rsidRPr="00080545">
        <w:rPr>
          <w:rFonts w:cs="Arial"/>
          <w:bCs/>
        </w:rPr>
        <w:t xml:space="preserve"> to be used in future.</w:t>
      </w:r>
    </w:p>
    <w:p w14:paraId="5C2C1953" w14:textId="77777777" w:rsidR="003003DB" w:rsidRDefault="003003DB" w:rsidP="003003DB">
      <w:pPr>
        <w:pStyle w:val="ListParagraph"/>
        <w:spacing w:after="240" w:line="276" w:lineRule="auto"/>
        <w:ind w:left="1134"/>
        <w:rPr>
          <w:rFonts w:asciiTheme="minorHAnsi" w:hAnsiTheme="minorHAnsi"/>
        </w:rPr>
      </w:pPr>
    </w:p>
    <w:p w14:paraId="5C2C1954" w14:textId="77777777" w:rsidR="003003DB" w:rsidRPr="00080545" w:rsidRDefault="00A77C7D" w:rsidP="00080545">
      <w:pPr>
        <w:pStyle w:val="ListParagraph"/>
        <w:numPr>
          <w:ilvl w:val="1"/>
          <w:numId w:val="15"/>
        </w:numPr>
        <w:spacing w:after="200" w:line="276" w:lineRule="auto"/>
        <w:rPr>
          <w:rFonts w:asciiTheme="minorHAnsi" w:hAnsiTheme="minorHAnsi"/>
        </w:rPr>
      </w:pPr>
      <w:r w:rsidRPr="003003DB">
        <w:rPr>
          <w:rFonts w:asciiTheme="minorHAnsi" w:hAnsiTheme="minorHAnsi"/>
          <w:b/>
        </w:rPr>
        <w:t xml:space="preserve"> </w:t>
      </w:r>
      <w:r w:rsidRPr="00080545">
        <w:rPr>
          <w:rFonts w:cs="Arial"/>
          <w:b/>
          <w:bCs/>
        </w:rPr>
        <w:t>Vendor payments</w:t>
      </w:r>
    </w:p>
    <w:p w14:paraId="5C2C1955" w14:textId="77777777" w:rsidR="00080545" w:rsidRPr="003003DB" w:rsidRDefault="00080545" w:rsidP="00080545">
      <w:pPr>
        <w:pStyle w:val="ListParagraph"/>
        <w:spacing w:after="200" w:line="276" w:lineRule="auto"/>
        <w:ind w:left="792"/>
        <w:rPr>
          <w:rFonts w:asciiTheme="minorHAnsi" w:hAnsiTheme="minorHAnsi"/>
        </w:rPr>
      </w:pPr>
    </w:p>
    <w:p w14:paraId="5C2C1956" w14:textId="77777777" w:rsidR="003003DB" w:rsidRPr="00080545" w:rsidRDefault="003003DB" w:rsidP="00080545">
      <w:pPr>
        <w:pStyle w:val="ListParagraph"/>
        <w:numPr>
          <w:ilvl w:val="2"/>
          <w:numId w:val="15"/>
        </w:numPr>
        <w:spacing w:after="200" w:line="276" w:lineRule="auto"/>
        <w:ind w:left="1134" w:hanging="708"/>
        <w:rPr>
          <w:rFonts w:cs="Arial"/>
          <w:bCs/>
        </w:rPr>
      </w:pPr>
      <w:r w:rsidRPr="00080545">
        <w:rPr>
          <w:rFonts w:cs="Arial"/>
          <w:bCs/>
        </w:rPr>
        <w:t>AP conduct w</w:t>
      </w:r>
      <w:r w:rsidR="00A77C7D" w:rsidRPr="00080545">
        <w:rPr>
          <w:rFonts w:cs="Arial"/>
          <w:bCs/>
        </w:rPr>
        <w:t xml:space="preserve">eekly payment runs </w:t>
      </w:r>
      <w:r w:rsidRPr="00080545">
        <w:rPr>
          <w:rFonts w:cs="Arial"/>
          <w:bCs/>
        </w:rPr>
        <w:t>on Thursdays. Vendor</w:t>
      </w:r>
      <w:r w:rsidR="00A77C7D" w:rsidRPr="00080545">
        <w:rPr>
          <w:rFonts w:cs="Arial"/>
          <w:bCs/>
        </w:rPr>
        <w:t xml:space="preserve"> invoices falling due each week</w:t>
      </w:r>
      <w:r w:rsidRPr="00080545">
        <w:rPr>
          <w:rFonts w:cs="Arial"/>
          <w:bCs/>
        </w:rPr>
        <w:t>,</w:t>
      </w:r>
      <w:r w:rsidR="00A77C7D" w:rsidRPr="00080545">
        <w:rPr>
          <w:rFonts w:cs="Arial"/>
          <w:bCs/>
        </w:rPr>
        <w:t xml:space="preserve"> based on the</w:t>
      </w:r>
      <w:r w:rsidRPr="00080545">
        <w:rPr>
          <w:rFonts w:cs="Arial"/>
          <w:bCs/>
        </w:rPr>
        <w:t>ir</w:t>
      </w:r>
      <w:r w:rsidR="00A77C7D" w:rsidRPr="00080545">
        <w:rPr>
          <w:rFonts w:cs="Arial"/>
          <w:bCs/>
        </w:rPr>
        <w:t xml:space="preserve"> payment terms, will be included in these payments runs.</w:t>
      </w:r>
    </w:p>
    <w:p w14:paraId="5C2C1957" w14:textId="77777777" w:rsidR="005C7E47" w:rsidRDefault="004749EA" w:rsidP="005C7E47">
      <w:pPr>
        <w:pStyle w:val="ListParagraph"/>
        <w:numPr>
          <w:ilvl w:val="2"/>
          <w:numId w:val="15"/>
        </w:numPr>
        <w:spacing w:after="200" w:line="276" w:lineRule="auto"/>
        <w:ind w:left="1134" w:hanging="708"/>
        <w:rPr>
          <w:rFonts w:cs="Arial"/>
          <w:bCs/>
        </w:rPr>
      </w:pPr>
      <w:r>
        <w:rPr>
          <w:rFonts w:cs="Arial"/>
          <w:bCs/>
        </w:rPr>
        <w:t xml:space="preserve">Therefore all </w:t>
      </w:r>
      <w:r w:rsidR="00A77C7D" w:rsidRPr="00080545">
        <w:rPr>
          <w:rFonts w:cs="Arial"/>
          <w:bCs/>
        </w:rPr>
        <w:t xml:space="preserve">POs </w:t>
      </w:r>
      <w:r>
        <w:rPr>
          <w:rFonts w:cs="Arial"/>
          <w:bCs/>
        </w:rPr>
        <w:t>must</w:t>
      </w:r>
      <w:r w:rsidRPr="00080545">
        <w:rPr>
          <w:rFonts w:cs="Arial"/>
          <w:bCs/>
        </w:rPr>
        <w:t xml:space="preserve"> </w:t>
      </w:r>
      <w:r w:rsidR="00A77C7D" w:rsidRPr="00080545">
        <w:rPr>
          <w:rFonts w:cs="Arial"/>
          <w:bCs/>
        </w:rPr>
        <w:t xml:space="preserve">be receipted and non-PO invoices manually approved and forwarded to AP </w:t>
      </w:r>
      <w:r>
        <w:rPr>
          <w:rFonts w:cs="Arial"/>
          <w:bCs/>
        </w:rPr>
        <w:t>by 5.00pm on Wednesday.</w:t>
      </w:r>
      <w:r w:rsidR="00D4406D">
        <w:rPr>
          <w:rFonts w:cs="Arial"/>
          <w:bCs/>
        </w:rPr>
        <w:t xml:space="preserve"> Any invoices which are approved after this deadline will be included in the following week’s payment run.</w:t>
      </w:r>
    </w:p>
    <w:p w14:paraId="5C2C1958" w14:textId="77777777" w:rsidR="006613E5" w:rsidRDefault="006613E5" w:rsidP="006613E5">
      <w:pPr>
        <w:pStyle w:val="ListParagraph"/>
        <w:spacing w:after="200" w:line="276" w:lineRule="auto"/>
        <w:ind w:left="1134"/>
        <w:rPr>
          <w:rFonts w:cs="Arial"/>
          <w:bCs/>
        </w:rPr>
      </w:pPr>
    </w:p>
    <w:p w14:paraId="5C2C1959" w14:textId="77777777" w:rsidR="006613E5" w:rsidRDefault="006613E5" w:rsidP="006613E5">
      <w:pPr>
        <w:pStyle w:val="ListParagraph"/>
        <w:numPr>
          <w:ilvl w:val="1"/>
          <w:numId w:val="15"/>
        </w:numPr>
        <w:spacing w:after="200" w:line="276" w:lineRule="auto"/>
        <w:rPr>
          <w:rFonts w:cs="Arial"/>
          <w:b/>
          <w:bCs/>
        </w:rPr>
      </w:pPr>
      <w:r w:rsidRPr="006613E5">
        <w:rPr>
          <w:rFonts w:cs="Arial"/>
          <w:b/>
          <w:bCs/>
        </w:rPr>
        <w:t>Employee expense reimbursements and credit card payments</w:t>
      </w:r>
    </w:p>
    <w:p w14:paraId="5C2C195A" w14:textId="77777777" w:rsidR="009179B1" w:rsidRDefault="009179B1" w:rsidP="009179B1">
      <w:pPr>
        <w:pStyle w:val="ListParagraph"/>
        <w:spacing w:after="200" w:line="276" w:lineRule="auto"/>
        <w:ind w:left="792"/>
        <w:rPr>
          <w:rFonts w:cs="Arial"/>
          <w:b/>
          <w:bCs/>
        </w:rPr>
      </w:pPr>
    </w:p>
    <w:p w14:paraId="5C2C195B" w14:textId="77777777" w:rsidR="006613E5" w:rsidRDefault="006613E5" w:rsidP="006613E5">
      <w:pPr>
        <w:pStyle w:val="ListParagraph"/>
        <w:numPr>
          <w:ilvl w:val="2"/>
          <w:numId w:val="15"/>
        </w:numPr>
        <w:spacing w:after="200" w:line="276" w:lineRule="auto"/>
        <w:ind w:hanging="929"/>
        <w:rPr>
          <w:rFonts w:cs="Arial"/>
          <w:bCs/>
        </w:rPr>
      </w:pPr>
      <w:r w:rsidRPr="005C7E47">
        <w:rPr>
          <w:rFonts w:cs="Arial"/>
          <w:bCs/>
        </w:rPr>
        <w:t xml:space="preserve">All employees must submit expense claim forms for reimbursement of expenses, </w:t>
      </w:r>
      <w:r>
        <w:rPr>
          <w:rFonts w:cs="Arial"/>
          <w:bCs/>
        </w:rPr>
        <w:t xml:space="preserve">whether initially </w:t>
      </w:r>
      <w:r w:rsidRPr="005C7E47">
        <w:rPr>
          <w:rFonts w:cs="Arial"/>
          <w:bCs/>
        </w:rPr>
        <w:t xml:space="preserve">paid for by the employee by personal card or cash, </w:t>
      </w:r>
      <w:r>
        <w:rPr>
          <w:rFonts w:cs="Arial"/>
          <w:bCs/>
        </w:rPr>
        <w:t>or</w:t>
      </w:r>
      <w:r w:rsidRPr="005C7E47">
        <w:rPr>
          <w:rFonts w:cs="Arial"/>
          <w:bCs/>
        </w:rPr>
        <w:t xml:space="preserve"> to support expenditure on company credit cards. </w:t>
      </w:r>
    </w:p>
    <w:p w14:paraId="5C2C195C" w14:textId="77777777" w:rsidR="006613E5" w:rsidRDefault="006613E5" w:rsidP="006613E5">
      <w:pPr>
        <w:pStyle w:val="ListParagraph"/>
        <w:numPr>
          <w:ilvl w:val="2"/>
          <w:numId w:val="15"/>
        </w:numPr>
        <w:spacing w:after="200" w:line="276" w:lineRule="auto"/>
        <w:ind w:hanging="929"/>
        <w:rPr>
          <w:rFonts w:cs="Arial"/>
          <w:bCs/>
        </w:rPr>
      </w:pPr>
      <w:r>
        <w:rPr>
          <w:rFonts w:cs="Arial"/>
          <w:bCs/>
        </w:rPr>
        <w:t>All expense claims should include</w:t>
      </w:r>
      <w:r w:rsidRPr="005C7E47">
        <w:rPr>
          <w:rFonts w:cs="Arial"/>
          <w:bCs/>
        </w:rPr>
        <w:t xml:space="preserve"> supporting receipts/invoices </w:t>
      </w:r>
      <w:r>
        <w:rPr>
          <w:rFonts w:cs="Arial"/>
          <w:bCs/>
        </w:rPr>
        <w:t>and must be approved by the</w:t>
      </w:r>
      <w:r w:rsidRPr="005C7E47">
        <w:rPr>
          <w:rFonts w:cs="Arial"/>
          <w:bCs/>
        </w:rPr>
        <w:t xml:space="preserve"> line managers to confirm that the expenses have been incurred for legitimate business purpose. </w:t>
      </w:r>
    </w:p>
    <w:p w14:paraId="5C2C195D" w14:textId="77777777" w:rsidR="006613E5" w:rsidRPr="005C7E47" w:rsidRDefault="006613E5" w:rsidP="006613E5">
      <w:pPr>
        <w:pStyle w:val="ListParagraph"/>
        <w:numPr>
          <w:ilvl w:val="2"/>
          <w:numId w:val="15"/>
        </w:numPr>
        <w:spacing w:after="200" w:line="276" w:lineRule="auto"/>
        <w:ind w:hanging="929"/>
        <w:rPr>
          <w:rFonts w:cs="Arial"/>
          <w:bCs/>
        </w:rPr>
      </w:pPr>
      <w:r>
        <w:rPr>
          <w:rFonts w:cs="Arial"/>
          <w:bCs/>
        </w:rPr>
        <w:t xml:space="preserve">Only expenses that are in line with </w:t>
      </w:r>
      <w:proofErr w:type="spellStart"/>
      <w:r>
        <w:rPr>
          <w:rFonts w:cs="Arial"/>
          <w:bCs/>
        </w:rPr>
        <w:t>ColArt’s</w:t>
      </w:r>
      <w:proofErr w:type="spellEnd"/>
      <w:r>
        <w:rPr>
          <w:rFonts w:cs="Arial"/>
          <w:bCs/>
        </w:rPr>
        <w:t xml:space="preserve"> expense policy are eligible for reimbursement.</w:t>
      </w:r>
    </w:p>
    <w:p w14:paraId="5C2C195E" w14:textId="77777777" w:rsidR="006613E5" w:rsidRDefault="006613E5" w:rsidP="006613E5">
      <w:pPr>
        <w:pStyle w:val="ListParagraph"/>
        <w:numPr>
          <w:ilvl w:val="2"/>
          <w:numId w:val="15"/>
        </w:numPr>
        <w:spacing w:after="200" w:line="276" w:lineRule="auto"/>
        <w:ind w:hanging="929"/>
        <w:rPr>
          <w:rFonts w:cs="Arial"/>
          <w:bCs/>
        </w:rPr>
      </w:pPr>
      <w:r w:rsidRPr="005C7E47">
        <w:rPr>
          <w:rFonts w:cs="Arial"/>
          <w:bCs/>
        </w:rPr>
        <w:t xml:space="preserve">Claims for mileage and subsistence must be calculated in accordance with </w:t>
      </w:r>
      <w:proofErr w:type="spellStart"/>
      <w:r w:rsidRPr="005C7E47">
        <w:rPr>
          <w:rFonts w:cs="Arial"/>
          <w:bCs/>
        </w:rPr>
        <w:t>ColArt’s</w:t>
      </w:r>
      <w:proofErr w:type="spellEnd"/>
      <w:r w:rsidRPr="005C7E47">
        <w:rPr>
          <w:rFonts w:cs="Arial"/>
          <w:bCs/>
        </w:rPr>
        <w:t xml:space="preserve"> pay</w:t>
      </w:r>
      <w:r>
        <w:rPr>
          <w:rFonts w:cs="Arial"/>
          <w:bCs/>
        </w:rPr>
        <w:t xml:space="preserve"> </w:t>
      </w:r>
      <w:r w:rsidRPr="005C7E47">
        <w:rPr>
          <w:rFonts w:cs="Arial"/>
          <w:bCs/>
        </w:rPr>
        <w:t>rates.</w:t>
      </w:r>
      <w:r w:rsidRPr="00D4406D">
        <w:rPr>
          <w:rFonts w:cs="Arial"/>
          <w:bCs/>
        </w:rPr>
        <w:t xml:space="preserve"> </w:t>
      </w:r>
    </w:p>
    <w:p w14:paraId="5C2C195F" w14:textId="77777777" w:rsidR="006613E5" w:rsidRPr="00D4406D" w:rsidRDefault="006613E5" w:rsidP="006613E5">
      <w:pPr>
        <w:pStyle w:val="ListParagraph"/>
        <w:numPr>
          <w:ilvl w:val="2"/>
          <w:numId w:val="15"/>
        </w:numPr>
        <w:spacing w:after="200" w:line="276" w:lineRule="auto"/>
        <w:ind w:hanging="929"/>
        <w:rPr>
          <w:rFonts w:cs="Arial"/>
          <w:bCs/>
        </w:rPr>
      </w:pPr>
      <w:r>
        <w:rPr>
          <w:rFonts w:cs="Arial"/>
          <w:bCs/>
        </w:rPr>
        <w:t>Any expense claims related to entertainment must state clearly the purpose and beneficiary of the entertainment.</w:t>
      </w:r>
    </w:p>
    <w:p w14:paraId="5C2C1960" w14:textId="77777777" w:rsidR="006613E5" w:rsidRDefault="006613E5" w:rsidP="006613E5">
      <w:pPr>
        <w:pStyle w:val="ListParagraph"/>
        <w:numPr>
          <w:ilvl w:val="2"/>
          <w:numId w:val="15"/>
        </w:numPr>
        <w:spacing w:after="200" w:line="276" w:lineRule="auto"/>
        <w:ind w:hanging="929"/>
        <w:rPr>
          <w:rFonts w:cs="Arial"/>
          <w:bCs/>
        </w:rPr>
      </w:pPr>
      <w:r w:rsidRPr="005C7E47">
        <w:rPr>
          <w:rFonts w:cs="Arial"/>
          <w:bCs/>
        </w:rPr>
        <w:t xml:space="preserve">Expense </w:t>
      </w:r>
      <w:r>
        <w:rPr>
          <w:rFonts w:cs="Arial"/>
          <w:bCs/>
        </w:rPr>
        <w:t>claims</w:t>
      </w:r>
      <w:r w:rsidRPr="005C7E47">
        <w:rPr>
          <w:rFonts w:cs="Arial"/>
          <w:bCs/>
        </w:rPr>
        <w:t xml:space="preserve"> for </w:t>
      </w:r>
      <w:r>
        <w:rPr>
          <w:rFonts w:cs="Arial"/>
          <w:bCs/>
        </w:rPr>
        <w:t xml:space="preserve">company </w:t>
      </w:r>
      <w:r w:rsidRPr="005C7E47">
        <w:rPr>
          <w:rFonts w:cs="Arial"/>
          <w:bCs/>
        </w:rPr>
        <w:t>credit card</w:t>
      </w:r>
      <w:r>
        <w:rPr>
          <w:rFonts w:cs="Arial"/>
          <w:bCs/>
        </w:rPr>
        <w:t>s</w:t>
      </w:r>
      <w:r w:rsidRPr="005C7E47">
        <w:rPr>
          <w:rFonts w:cs="Arial"/>
          <w:bCs/>
        </w:rPr>
        <w:t xml:space="preserve"> must be submitted within one week after the end of the calendar </w:t>
      </w:r>
      <w:r>
        <w:rPr>
          <w:rFonts w:cs="Arial"/>
          <w:bCs/>
        </w:rPr>
        <w:t xml:space="preserve">month and must reconcile to the credit card statement for that month. Non-compliance will be addressed by notifying the cost centre manager or supervisor. </w:t>
      </w:r>
    </w:p>
    <w:p w14:paraId="5C2C1961" w14:textId="77777777" w:rsidR="006613E5" w:rsidRPr="006613E5" w:rsidRDefault="006613E5" w:rsidP="006613E5">
      <w:pPr>
        <w:pStyle w:val="ListParagraph"/>
        <w:numPr>
          <w:ilvl w:val="2"/>
          <w:numId w:val="15"/>
        </w:numPr>
        <w:spacing w:after="200" w:line="276" w:lineRule="auto"/>
        <w:ind w:hanging="929"/>
        <w:rPr>
          <w:rFonts w:cs="Arial"/>
          <w:b/>
          <w:bCs/>
        </w:rPr>
      </w:pPr>
      <w:r w:rsidRPr="003D0E24">
        <w:rPr>
          <w:rFonts w:cs="Arial"/>
          <w:bCs/>
        </w:rPr>
        <w:t>It is not allowed to use the corporate card for personal charges and repeated violation will result in the credit card being withdrawn.  Any personal expenditure incurred on company</w:t>
      </w:r>
      <w:r>
        <w:rPr>
          <w:rFonts w:cs="Arial"/>
          <w:bCs/>
        </w:rPr>
        <w:t xml:space="preserve"> credit card will have to be re</w:t>
      </w:r>
      <w:r w:rsidRPr="003D0E24">
        <w:rPr>
          <w:rFonts w:cs="Arial"/>
          <w:bCs/>
        </w:rPr>
        <w:t>imbursed by the employee by issuing a personal cheque to ColArt</w:t>
      </w:r>
      <w:r>
        <w:rPr>
          <w:rFonts w:cs="Arial"/>
          <w:bCs/>
        </w:rPr>
        <w:t xml:space="preserve"> or through payroll deduction.</w:t>
      </w:r>
    </w:p>
    <w:p w14:paraId="5C2C1962" w14:textId="77777777" w:rsidR="005C7E47" w:rsidRPr="005C7E47" w:rsidRDefault="00EF3DD9" w:rsidP="005C7E47">
      <w:pPr>
        <w:pStyle w:val="Heading2"/>
        <w:numPr>
          <w:ilvl w:val="0"/>
          <w:numId w:val="15"/>
        </w:numPr>
      </w:pPr>
      <w:bookmarkStart w:id="10" w:name="_Toc384126092"/>
      <w:r>
        <w:t>Related Areas and Processes</w:t>
      </w:r>
      <w:bookmarkEnd w:id="10"/>
    </w:p>
    <w:p w14:paraId="5C2C1963" w14:textId="77777777" w:rsidR="005B3B6A" w:rsidRDefault="005B3B6A" w:rsidP="00A77C7D">
      <w:r>
        <w:t xml:space="preserve"> </w:t>
      </w:r>
    </w:p>
    <w:p w14:paraId="5C2C1964" w14:textId="77777777" w:rsidR="00EF3DD9" w:rsidRPr="00EF3DD9" w:rsidRDefault="002F2065" w:rsidP="006A48BE">
      <w:pPr>
        <w:pStyle w:val="Heading2"/>
      </w:pPr>
      <w:bookmarkStart w:id="11" w:name="_Toc384126093"/>
      <w:r>
        <w:t xml:space="preserve">6. </w:t>
      </w:r>
      <w:r w:rsidR="00EF3DD9" w:rsidRPr="00EF3DD9">
        <w:t>Issue management process</w:t>
      </w:r>
      <w:bookmarkEnd w:id="11"/>
    </w:p>
    <w:p w14:paraId="5C2C1965" w14:textId="77777777" w:rsidR="005B6C40" w:rsidRDefault="006613E5">
      <w:pPr>
        <w:spacing w:after="200" w:line="276" w:lineRule="auto"/>
        <w:rPr>
          <w:rFonts w:cs="Arial"/>
          <w:bCs/>
        </w:rPr>
      </w:pPr>
      <w:r w:rsidRPr="00EF3DD9">
        <w:rPr>
          <w:rFonts w:cs="Arial"/>
          <w:bCs/>
        </w:rPr>
        <w:t xml:space="preserve">If application of this policy leads to an issue within the business it should first be raised to the </w:t>
      </w:r>
      <w:r>
        <w:rPr>
          <w:rFonts w:cs="Arial"/>
          <w:bCs/>
        </w:rPr>
        <w:t>Group Controller.</w:t>
      </w:r>
    </w:p>
    <w:p w14:paraId="5C2C1966" w14:textId="77777777" w:rsidR="005B6C40" w:rsidRDefault="005B6C40">
      <w:pPr>
        <w:spacing w:after="200" w:line="276" w:lineRule="auto"/>
        <w:rPr>
          <w:rFonts w:cs="Arial"/>
          <w:bCs/>
        </w:rPr>
      </w:pPr>
    </w:p>
    <w:p w14:paraId="5C2C1967" w14:textId="77777777" w:rsidR="00EF3DD9" w:rsidRDefault="00EF3DD9">
      <w:pPr>
        <w:spacing w:after="200" w:line="276" w:lineRule="auto"/>
        <w:rPr>
          <w:rFonts w:cs="Arial"/>
          <w:bCs/>
        </w:rPr>
      </w:pPr>
      <w:r>
        <w:rPr>
          <w:rFonts w:cs="Arial"/>
          <w:bCs/>
        </w:rPr>
        <w:br w:type="page"/>
      </w:r>
    </w:p>
    <w:p w14:paraId="5C2C1968" w14:textId="77777777" w:rsidR="00EF3DD9" w:rsidRDefault="00EF3DD9" w:rsidP="00EF3DD9">
      <w:pPr>
        <w:pStyle w:val="Heading1"/>
      </w:pPr>
      <w:bookmarkStart w:id="12" w:name="_Toc384126094"/>
      <w:r>
        <w:lastRenderedPageBreak/>
        <w:t>Appendix</w:t>
      </w:r>
      <w:bookmarkEnd w:id="12"/>
    </w:p>
    <w:p w14:paraId="5C2C1969" w14:textId="77777777" w:rsidR="00562548" w:rsidRDefault="00EF3DD9" w:rsidP="00EF3DD9">
      <w:pPr>
        <w:rPr>
          <w:rFonts w:cs="Arial"/>
          <w:bCs/>
        </w:rPr>
      </w:pPr>
      <w:r>
        <w:rPr>
          <w:rFonts w:cs="Arial"/>
          <w:bCs/>
        </w:rPr>
        <w:t>Additional reference information for the Policy</w:t>
      </w:r>
    </w:p>
    <w:p w14:paraId="5C2C196A" w14:textId="77777777" w:rsidR="00FD2C14" w:rsidRDefault="00FD2C14" w:rsidP="00EF3DD9">
      <w:pPr>
        <w:rPr>
          <w:rFonts w:cs="Arial"/>
          <w:bCs/>
        </w:rPr>
      </w:pPr>
    </w:p>
    <w:p w14:paraId="5C2C196B" w14:textId="77777777" w:rsidR="00FD2C14" w:rsidRDefault="00FD2C14" w:rsidP="00EF3DD9">
      <w:pPr>
        <w:rPr>
          <w:rFonts w:cs="Arial"/>
          <w:bCs/>
        </w:rPr>
      </w:pPr>
    </w:p>
    <w:p w14:paraId="5C2C196C" w14:textId="77777777" w:rsidR="00FD2C14" w:rsidRDefault="003A7330" w:rsidP="00EF3DD9">
      <w:pPr>
        <w:rPr>
          <w:rFonts w:cs="Arial"/>
          <w:bCs/>
        </w:rPr>
      </w:pPr>
      <w:r>
        <w:rPr>
          <w:rFonts w:cs="Arial"/>
          <w:bCs/>
        </w:rPr>
        <w:t>Approval Hierarchy:</w:t>
      </w:r>
    </w:p>
    <w:p w14:paraId="5C2C196D" w14:textId="77777777" w:rsidR="00FD2C14" w:rsidRDefault="00FD2C14" w:rsidP="00FD2C14"/>
    <w:p w14:paraId="5C2C196E" w14:textId="77777777" w:rsidR="003A7330" w:rsidRDefault="003A7330" w:rsidP="003A7330"/>
    <w:tbl>
      <w:tblPr>
        <w:tblW w:w="8912" w:type="dxa"/>
        <w:tblInd w:w="-15" w:type="dxa"/>
        <w:tblCellMar>
          <w:left w:w="0" w:type="dxa"/>
          <w:right w:w="0" w:type="dxa"/>
        </w:tblCellMar>
        <w:tblLook w:val="04A0" w:firstRow="1" w:lastRow="0" w:firstColumn="1" w:lastColumn="0" w:noHBand="0" w:noVBand="1"/>
      </w:tblPr>
      <w:tblGrid>
        <w:gridCol w:w="1840"/>
        <w:gridCol w:w="4237"/>
        <w:gridCol w:w="2835"/>
      </w:tblGrid>
      <w:tr w:rsidR="003A7330" w14:paraId="5C2C1970" w14:textId="77777777" w:rsidTr="00F355D4">
        <w:trPr>
          <w:trHeight w:val="315"/>
        </w:trPr>
        <w:tc>
          <w:tcPr>
            <w:tcW w:w="8912" w:type="dxa"/>
            <w:gridSpan w:val="3"/>
            <w:tcBorders>
              <w:bottom w:val="single" w:sz="8" w:space="0" w:color="000000" w:themeColor="text1"/>
            </w:tcBorders>
            <w:noWrap/>
            <w:tcMar>
              <w:top w:w="0" w:type="dxa"/>
              <w:left w:w="108" w:type="dxa"/>
              <w:bottom w:w="0" w:type="dxa"/>
              <w:right w:w="108" w:type="dxa"/>
            </w:tcMar>
            <w:vAlign w:val="bottom"/>
            <w:hideMark/>
          </w:tcPr>
          <w:p w14:paraId="5C2C196F" w14:textId="77777777" w:rsidR="003A7330" w:rsidRDefault="003A7330">
            <w:pPr>
              <w:rPr>
                <w:rFonts w:ascii="Calibri" w:hAnsi="Calibri"/>
                <w:b/>
                <w:bCs/>
                <w:color w:val="000000"/>
                <w:sz w:val="24"/>
                <w:szCs w:val="24"/>
                <w:lang w:eastAsia="en-GB"/>
              </w:rPr>
            </w:pPr>
            <w:r>
              <w:rPr>
                <w:b/>
                <w:bCs/>
                <w:color w:val="000000"/>
                <w:sz w:val="24"/>
                <w:szCs w:val="24"/>
                <w:lang w:eastAsia="en-GB"/>
              </w:rPr>
              <w:t>NON-PRODUCTION RELATED ITEMS OR SERVICES</w:t>
            </w:r>
          </w:p>
        </w:tc>
      </w:tr>
      <w:tr w:rsidR="003A7330" w14:paraId="5C2C1975" w14:textId="77777777" w:rsidTr="00F355D4">
        <w:trPr>
          <w:trHeight w:val="300"/>
        </w:trPr>
        <w:tc>
          <w:tcPr>
            <w:tcW w:w="1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vAlign w:val="center"/>
            <w:hideMark/>
          </w:tcPr>
          <w:p w14:paraId="5C2C1971" w14:textId="77777777" w:rsidR="003A7330" w:rsidRPr="00F355D4" w:rsidRDefault="003A7330" w:rsidP="00F355D4">
            <w:pPr>
              <w:jc w:val="center"/>
              <w:rPr>
                <w:b/>
                <w:bCs/>
                <w:sz w:val="24"/>
                <w:szCs w:val="24"/>
                <w:lang w:val="en-US" w:eastAsia="en-GB"/>
              </w:rPr>
            </w:pPr>
            <w:r w:rsidRPr="00F355D4">
              <w:rPr>
                <w:b/>
                <w:bCs/>
                <w:sz w:val="24"/>
                <w:szCs w:val="24"/>
                <w:lang w:val="en-US" w:eastAsia="en-GB"/>
              </w:rPr>
              <w:t>System Limits</w:t>
            </w:r>
          </w:p>
          <w:p w14:paraId="5C2C1972" w14:textId="77777777" w:rsidR="003A7330" w:rsidRPr="00F355D4" w:rsidRDefault="003A7330" w:rsidP="00F355D4">
            <w:pPr>
              <w:jc w:val="center"/>
              <w:rPr>
                <w:rFonts w:ascii="Calibri" w:hAnsi="Calibri"/>
                <w:b/>
                <w:bCs/>
                <w:i/>
                <w:sz w:val="24"/>
                <w:szCs w:val="24"/>
                <w:lang w:eastAsia="en-GB"/>
              </w:rPr>
            </w:pPr>
            <w:r w:rsidRPr="00F355D4">
              <w:rPr>
                <w:b/>
                <w:bCs/>
                <w:i/>
                <w:sz w:val="20"/>
                <w:szCs w:val="24"/>
                <w:lang w:val="en-US" w:eastAsia="en-GB"/>
              </w:rPr>
              <w:t>(in GBP)</w:t>
            </w:r>
          </w:p>
        </w:tc>
        <w:tc>
          <w:tcPr>
            <w:tcW w:w="42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vAlign w:val="center"/>
            <w:hideMark/>
          </w:tcPr>
          <w:p w14:paraId="5C2C1973" w14:textId="77777777" w:rsidR="003A7330" w:rsidRPr="00F355D4" w:rsidRDefault="003A7330">
            <w:pPr>
              <w:jc w:val="center"/>
              <w:rPr>
                <w:rFonts w:ascii="Calibri" w:hAnsi="Calibri"/>
                <w:b/>
                <w:bCs/>
                <w:sz w:val="24"/>
                <w:szCs w:val="24"/>
                <w:lang w:eastAsia="en-GB"/>
              </w:rPr>
            </w:pPr>
            <w:r w:rsidRPr="00F355D4">
              <w:rPr>
                <w:b/>
                <w:bCs/>
                <w:sz w:val="24"/>
                <w:szCs w:val="24"/>
                <w:lang w:val="en-US" w:eastAsia="en-GB"/>
              </w:rPr>
              <w:t>ROLE / RESPONSIBILITY</w:t>
            </w:r>
            <w:r w:rsidR="00F355D4">
              <w:rPr>
                <w:b/>
                <w:bCs/>
                <w:sz w:val="24"/>
                <w:szCs w:val="24"/>
                <w:lang w:val="en-US" w:eastAsia="en-GB"/>
              </w:rPr>
              <w:t>*</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5C2C1974" w14:textId="77777777" w:rsidR="003A7330" w:rsidRPr="00F355D4" w:rsidRDefault="003A7330">
            <w:pPr>
              <w:rPr>
                <w:rFonts w:ascii="Calibri" w:hAnsi="Calibri"/>
                <w:b/>
                <w:sz w:val="24"/>
                <w:szCs w:val="24"/>
              </w:rPr>
            </w:pPr>
            <w:r w:rsidRPr="00F355D4">
              <w:rPr>
                <w:b/>
                <w:sz w:val="24"/>
                <w:szCs w:val="24"/>
              </w:rPr>
              <w:t> Comments</w:t>
            </w:r>
          </w:p>
        </w:tc>
      </w:tr>
      <w:tr w:rsidR="003A7330" w14:paraId="5C2C1979" w14:textId="77777777" w:rsidTr="00F355D4">
        <w:trPr>
          <w:trHeight w:val="300"/>
        </w:trPr>
        <w:tc>
          <w:tcPr>
            <w:tcW w:w="1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5C2C1976" w14:textId="77777777" w:rsidR="003A7330" w:rsidRDefault="003A7330">
            <w:pPr>
              <w:jc w:val="right"/>
              <w:rPr>
                <w:rFonts w:ascii="Calibri" w:hAnsi="Calibri"/>
                <w:color w:val="000000"/>
                <w:lang w:eastAsia="en-GB"/>
              </w:rPr>
            </w:pPr>
            <w:r>
              <w:rPr>
                <w:color w:val="000000"/>
                <w:lang w:val="en-US" w:eastAsia="en-GB"/>
              </w:rPr>
              <w:t>&lt;1.00</w:t>
            </w:r>
          </w:p>
        </w:tc>
        <w:tc>
          <w:tcPr>
            <w:tcW w:w="4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5C2C1977" w14:textId="77777777" w:rsidR="003A7330" w:rsidRDefault="003A7330">
            <w:pPr>
              <w:rPr>
                <w:rFonts w:ascii="Calibri" w:hAnsi="Calibri"/>
                <w:color w:val="000000"/>
                <w:lang w:eastAsia="en-GB"/>
              </w:rPr>
            </w:pPr>
            <w:r>
              <w:rPr>
                <w:color w:val="000000"/>
                <w:lang w:val="en-US" w:eastAsia="en-GB"/>
              </w:rPr>
              <w:t>Requestor</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C2C1978" w14:textId="77777777" w:rsidR="003A7330" w:rsidRDefault="003A7330">
            <w:pPr>
              <w:rPr>
                <w:rFonts w:ascii="Calibri" w:hAnsi="Calibri"/>
              </w:rPr>
            </w:pPr>
            <w:r>
              <w:t> </w:t>
            </w:r>
          </w:p>
        </w:tc>
      </w:tr>
      <w:tr w:rsidR="003A7330" w14:paraId="5C2C197D" w14:textId="77777777" w:rsidTr="00F355D4">
        <w:trPr>
          <w:trHeight w:val="300"/>
        </w:trPr>
        <w:tc>
          <w:tcPr>
            <w:tcW w:w="1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5C2C197A" w14:textId="77777777" w:rsidR="003A7330" w:rsidRDefault="003A7330">
            <w:pPr>
              <w:jc w:val="right"/>
              <w:rPr>
                <w:rFonts w:ascii="Calibri" w:hAnsi="Calibri"/>
                <w:color w:val="000000"/>
                <w:lang w:eastAsia="en-GB"/>
              </w:rPr>
            </w:pPr>
            <w:r>
              <w:rPr>
                <w:color w:val="000000"/>
                <w:lang w:val="en-US" w:eastAsia="en-GB"/>
              </w:rPr>
              <w:t>&lt;100.00</w:t>
            </w:r>
          </w:p>
        </w:tc>
        <w:tc>
          <w:tcPr>
            <w:tcW w:w="4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5C2C197B" w14:textId="77777777" w:rsidR="003A7330" w:rsidRDefault="003A7330">
            <w:pPr>
              <w:rPr>
                <w:rFonts w:ascii="Calibri" w:hAnsi="Calibri"/>
                <w:color w:val="000000"/>
                <w:lang w:eastAsia="en-GB"/>
              </w:rPr>
            </w:pPr>
            <w:r>
              <w:rPr>
                <w:color w:val="000000"/>
                <w:lang w:val="en-US" w:eastAsia="en-GB"/>
              </w:rPr>
              <w:t>Undefined CIHL Level</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C2C197C" w14:textId="77777777" w:rsidR="003A7330" w:rsidRDefault="003A7330">
            <w:pPr>
              <w:rPr>
                <w:rFonts w:ascii="Calibri" w:hAnsi="Calibri"/>
              </w:rPr>
            </w:pPr>
            <w:r>
              <w:t> </w:t>
            </w:r>
          </w:p>
        </w:tc>
      </w:tr>
      <w:tr w:rsidR="003A7330" w14:paraId="5C2C1981" w14:textId="77777777" w:rsidTr="00F355D4">
        <w:trPr>
          <w:trHeight w:val="300"/>
        </w:trPr>
        <w:tc>
          <w:tcPr>
            <w:tcW w:w="1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5C2C197E" w14:textId="77777777" w:rsidR="003A7330" w:rsidRDefault="003A7330">
            <w:pPr>
              <w:jc w:val="right"/>
              <w:rPr>
                <w:rFonts w:ascii="Calibri" w:hAnsi="Calibri"/>
                <w:color w:val="000000"/>
                <w:lang w:eastAsia="en-GB"/>
              </w:rPr>
            </w:pPr>
            <w:r>
              <w:rPr>
                <w:color w:val="000000"/>
                <w:lang w:val="en-US" w:eastAsia="en-GB"/>
              </w:rPr>
              <w:t>&lt;250.00</w:t>
            </w:r>
          </w:p>
        </w:tc>
        <w:tc>
          <w:tcPr>
            <w:tcW w:w="4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5C2C197F" w14:textId="77777777" w:rsidR="003A7330" w:rsidRDefault="003A7330">
            <w:pPr>
              <w:rPr>
                <w:rFonts w:ascii="Calibri" w:hAnsi="Calibri"/>
                <w:color w:val="000000"/>
                <w:lang w:eastAsia="en-GB"/>
              </w:rPr>
            </w:pPr>
            <w:r>
              <w:rPr>
                <w:color w:val="000000"/>
                <w:lang w:val="en-US" w:eastAsia="en-GB"/>
              </w:rPr>
              <w:t>Undefined CIHL Level</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C2C1980" w14:textId="77777777" w:rsidR="003A7330" w:rsidRDefault="003A7330">
            <w:pPr>
              <w:rPr>
                <w:rFonts w:ascii="Calibri" w:hAnsi="Calibri"/>
              </w:rPr>
            </w:pPr>
            <w:r>
              <w:t> </w:t>
            </w:r>
          </w:p>
        </w:tc>
      </w:tr>
      <w:tr w:rsidR="003A7330" w14:paraId="5C2C1985" w14:textId="77777777" w:rsidTr="00F355D4">
        <w:trPr>
          <w:trHeight w:val="300"/>
        </w:trPr>
        <w:tc>
          <w:tcPr>
            <w:tcW w:w="1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5C2C1982" w14:textId="77777777" w:rsidR="003A7330" w:rsidRDefault="003A7330">
            <w:pPr>
              <w:jc w:val="right"/>
              <w:rPr>
                <w:rFonts w:ascii="Calibri" w:hAnsi="Calibri"/>
                <w:color w:val="000000"/>
                <w:lang w:eastAsia="en-GB"/>
              </w:rPr>
            </w:pPr>
            <w:r>
              <w:rPr>
                <w:color w:val="000000"/>
                <w:lang w:val="en-US" w:eastAsia="en-GB"/>
              </w:rPr>
              <w:t>&lt;2</w:t>
            </w:r>
            <w:r w:rsidR="00F355D4">
              <w:rPr>
                <w:color w:val="000000"/>
                <w:lang w:val="en-US" w:eastAsia="en-GB"/>
              </w:rPr>
              <w:t>,</w:t>
            </w:r>
            <w:r>
              <w:rPr>
                <w:color w:val="000000"/>
                <w:lang w:val="en-US" w:eastAsia="en-GB"/>
              </w:rPr>
              <w:t>000.00</w:t>
            </w:r>
          </w:p>
        </w:tc>
        <w:tc>
          <w:tcPr>
            <w:tcW w:w="4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5C2C1983" w14:textId="77777777" w:rsidR="003A7330" w:rsidRDefault="003A7330">
            <w:pPr>
              <w:rPr>
                <w:rFonts w:ascii="Calibri" w:hAnsi="Calibri"/>
                <w:color w:val="000000"/>
                <w:lang w:eastAsia="en-GB"/>
              </w:rPr>
            </w:pPr>
            <w:r>
              <w:rPr>
                <w:color w:val="000000"/>
                <w:lang w:val="en-US" w:eastAsia="en-GB"/>
              </w:rPr>
              <w:t>Manager</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C2C1984" w14:textId="77777777" w:rsidR="003A7330" w:rsidRDefault="003A7330">
            <w:pPr>
              <w:rPr>
                <w:rFonts w:ascii="Calibri" w:hAnsi="Calibri"/>
              </w:rPr>
            </w:pPr>
            <w:r>
              <w:t> </w:t>
            </w:r>
          </w:p>
        </w:tc>
      </w:tr>
      <w:tr w:rsidR="003A7330" w14:paraId="5C2C1989" w14:textId="77777777" w:rsidTr="00F355D4">
        <w:trPr>
          <w:trHeight w:val="300"/>
        </w:trPr>
        <w:tc>
          <w:tcPr>
            <w:tcW w:w="1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5C2C1986" w14:textId="77777777" w:rsidR="003A7330" w:rsidRDefault="003A7330">
            <w:pPr>
              <w:jc w:val="right"/>
              <w:rPr>
                <w:rFonts w:ascii="Calibri" w:hAnsi="Calibri"/>
                <w:color w:val="000000"/>
                <w:lang w:eastAsia="en-GB"/>
              </w:rPr>
            </w:pPr>
            <w:r>
              <w:rPr>
                <w:color w:val="000000"/>
                <w:lang w:val="en-US" w:eastAsia="en-GB"/>
              </w:rPr>
              <w:t>&lt;5</w:t>
            </w:r>
            <w:r w:rsidR="00F355D4">
              <w:rPr>
                <w:color w:val="000000"/>
                <w:lang w:val="en-US" w:eastAsia="en-GB"/>
              </w:rPr>
              <w:t>,</w:t>
            </w:r>
            <w:r>
              <w:rPr>
                <w:color w:val="000000"/>
                <w:lang w:val="en-US" w:eastAsia="en-GB"/>
              </w:rPr>
              <w:t>000.00</w:t>
            </w:r>
          </w:p>
        </w:tc>
        <w:tc>
          <w:tcPr>
            <w:tcW w:w="4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5C2C1987" w14:textId="77777777" w:rsidR="003A7330" w:rsidRDefault="003A7330">
            <w:pPr>
              <w:rPr>
                <w:rFonts w:ascii="Calibri" w:hAnsi="Calibri"/>
                <w:color w:val="000000"/>
                <w:lang w:eastAsia="en-GB"/>
              </w:rPr>
            </w:pPr>
            <w:r>
              <w:rPr>
                <w:color w:val="000000"/>
                <w:lang w:val="en-US" w:eastAsia="en-GB"/>
              </w:rPr>
              <w:t>Functional Director</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C2C1988" w14:textId="77777777" w:rsidR="003A7330" w:rsidRDefault="003A7330">
            <w:pPr>
              <w:rPr>
                <w:rFonts w:ascii="Calibri" w:hAnsi="Calibri"/>
              </w:rPr>
            </w:pPr>
            <w:r>
              <w:t> </w:t>
            </w:r>
          </w:p>
        </w:tc>
      </w:tr>
      <w:tr w:rsidR="003A7330" w14:paraId="5C2C198D" w14:textId="77777777" w:rsidTr="00F355D4">
        <w:trPr>
          <w:trHeight w:val="600"/>
        </w:trPr>
        <w:tc>
          <w:tcPr>
            <w:tcW w:w="1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5C2C198A" w14:textId="77777777" w:rsidR="003A7330" w:rsidRDefault="003A7330">
            <w:pPr>
              <w:jc w:val="right"/>
              <w:rPr>
                <w:rFonts w:ascii="Calibri" w:hAnsi="Calibri"/>
                <w:color w:val="000000"/>
                <w:lang w:eastAsia="en-GB"/>
              </w:rPr>
            </w:pPr>
            <w:r>
              <w:rPr>
                <w:color w:val="000000"/>
                <w:lang w:val="en-US" w:eastAsia="en-GB"/>
              </w:rPr>
              <w:t>&lt;20</w:t>
            </w:r>
            <w:r w:rsidR="00F355D4">
              <w:rPr>
                <w:color w:val="000000"/>
                <w:lang w:val="en-US" w:eastAsia="en-GB"/>
              </w:rPr>
              <w:t>,</w:t>
            </w:r>
            <w:r>
              <w:rPr>
                <w:color w:val="000000"/>
                <w:lang w:val="en-US" w:eastAsia="en-GB"/>
              </w:rPr>
              <w:t>000.00</w:t>
            </w:r>
          </w:p>
        </w:tc>
        <w:tc>
          <w:tcPr>
            <w:tcW w:w="4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5C2C198B" w14:textId="77777777" w:rsidR="003A7330" w:rsidRDefault="003A7330">
            <w:pPr>
              <w:rPr>
                <w:rFonts w:ascii="Calibri" w:hAnsi="Calibri"/>
                <w:color w:val="000000"/>
                <w:lang w:eastAsia="en-GB"/>
              </w:rPr>
            </w:pPr>
            <w:r>
              <w:rPr>
                <w:color w:val="000000"/>
                <w:lang w:val="en-US" w:eastAsia="en-GB"/>
              </w:rPr>
              <w:t>General Manager / Plant Manager / MD / Purchasing Director</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C2C198C" w14:textId="77777777" w:rsidR="003A7330" w:rsidRDefault="003A7330">
            <w:pPr>
              <w:rPr>
                <w:rFonts w:ascii="Calibri" w:hAnsi="Calibri"/>
              </w:rPr>
            </w:pPr>
            <w:r>
              <w:t> </w:t>
            </w:r>
          </w:p>
        </w:tc>
      </w:tr>
      <w:tr w:rsidR="003A7330" w14:paraId="5C2C1991" w14:textId="77777777" w:rsidTr="00F355D4">
        <w:trPr>
          <w:trHeight w:val="300"/>
        </w:trPr>
        <w:tc>
          <w:tcPr>
            <w:tcW w:w="1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5C2C198E" w14:textId="77777777" w:rsidR="003A7330" w:rsidRDefault="003A7330" w:rsidP="00F355D4">
            <w:pPr>
              <w:jc w:val="right"/>
              <w:rPr>
                <w:rFonts w:ascii="Calibri" w:hAnsi="Calibri"/>
                <w:color w:val="000000"/>
                <w:lang w:eastAsia="en-GB"/>
              </w:rPr>
            </w:pPr>
            <w:r>
              <w:rPr>
                <w:color w:val="000000"/>
                <w:lang w:val="en-US" w:eastAsia="en-GB"/>
              </w:rPr>
              <w:t>&lt;50</w:t>
            </w:r>
            <w:r w:rsidR="00F355D4">
              <w:rPr>
                <w:color w:val="000000"/>
                <w:lang w:val="en-US" w:eastAsia="en-GB"/>
              </w:rPr>
              <w:t>,</w:t>
            </w:r>
            <w:r>
              <w:rPr>
                <w:color w:val="000000"/>
                <w:lang w:val="en-US" w:eastAsia="en-GB"/>
              </w:rPr>
              <w:t>000</w:t>
            </w:r>
            <w:r w:rsidR="00F355D4">
              <w:rPr>
                <w:color w:val="000000"/>
                <w:lang w:val="en-US" w:eastAsia="en-GB"/>
              </w:rPr>
              <w:t>.00</w:t>
            </w:r>
          </w:p>
        </w:tc>
        <w:tc>
          <w:tcPr>
            <w:tcW w:w="4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5C2C198F" w14:textId="77777777" w:rsidR="003A7330" w:rsidRDefault="003A7330">
            <w:pPr>
              <w:rPr>
                <w:rFonts w:ascii="Calibri" w:hAnsi="Calibri"/>
                <w:color w:val="000000"/>
                <w:lang w:eastAsia="en-GB"/>
              </w:rPr>
            </w:pPr>
            <w:r>
              <w:rPr>
                <w:color w:val="000000"/>
                <w:lang w:val="en-US" w:eastAsia="en-GB"/>
              </w:rPr>
              <w:t>Group Management Team Member</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C2C1990" w14:textId="77777777" w:rsidR="003A7330" w:rsidRDefault="003A7330">
            <w:pPr>
              <w:rPr>
                <w:rFonts w:ascii="Calibri" w:hAnsi="Calibri"/>
              </w:rPr>
            </w:pPr>
            <w:r>
              <w:t> </w:t>
            </w:r>
          </w:p>
        </w:tc>
      </w:tr>
      <w:tr w:rsidR="003A7330" w14:paraId="5C2C1995" w14:textId="77777777" w:rsidTr="00F355D4">
        <w:trPr>
          <w:trHeight w:val="300"/>
        </w:trPr>
        <w:tc>
          <w:tcPr>
            <w:tcW w:w="1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5C2C1992" w14:textId="77777777" w:rsidR="003A7330" w:rsidRDefault="003A7330" w:rsidP="00F355D4">
            <w:pPr>
              <w:jc w:val="right"/>
              <w:rPr>
                <w:rFonts w:ascii="Calibri" w:hAnsi="Calibri"/>
                <w:color w:val="000000"/>
                <w:lang w:eastAsia="en-GB"/>
              </w:rPr>
            </w:pPr>
            <w:r>
              <w:rPr>
                <w:color w:val="000000"/>
                <w:lang w:val="en-US" w:eastAsia="en-GB"/>
              </w:rPr>
              <w:t>&lt;10</w:t>
            </w:r>
            <w:r w:rsidR="00F355D4">
              <w:rPr>
                <w:color w:val="000000"/>
                <w:lang w:val="en-US" w:eastAsia="en-GB"/>
              </w:rPr>
              <w:t>0,</w:t>
            </w:r>
            <w:r>
              <w:rPr>
                <w:color w:val="000000"/>
                <w:lang w:val="en-US" w:eastAsia="en-GB"/>
              </w:rPr>
              <w:t>0</w:t>
            </w:r>
            <w:r w:rsidR="00F355D4">
              <w:rPr>
                <w:color w:val="000000"/>
                <w:lang w:val="en-US" w:eastAsia="en-GB"/>
              </w:rPr>
              <w:t>00.00</w:t>
            </w:r>
          </w:p>
        </w:tc>
        <w:tc>
          <w:tcPr>
            <w:tcW w:w="4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5C2C1993" w14:textId="77777777" w:rsidR="003A7330" w:rsidRDefault="003A7330">
            <w:pPr>
              <w:rPr>
                <w:rFonts w:ascii="Calibri" w:hAnsi="Calibri"/>
                <w:color w:val="000000"/>
                <w:lang w:eastAsia="en-GB"/>
              </w:rPr>
            </w:pPr>
            <w:r>
              <w:rPr>
                <w:color w:val="000000"/>
                <w:lang w:val="en-US" w:eastAsia="en-GB"/>
              </w:rPr>
              <w:t>CFO</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C2C1994" w14:textId="77777777" w:rsidR="003A7330" w:rsidRDefault="003A7330" w:rsidP="00343D1B">
            <w:pPr>
              <w:rPr>
                <w:rFonts w:ascii="Calibri" w:hAnsi="Calibri"/>
              </w:rPr>
            </w:pPr>
            <w:r>
              <w:t>PO</w:t>
            </w:r>
            <w:r w:rsidR="00343D1B">
              <w:t xml:space="preserve"> &amp; Invoice</w:t>
            </w:r>
            <w:r>
              <w:t xml:space="preserve"> require approval of relevant GMT member PLUS CFO</w:t>
            </w:r>
            <w:r w:rsidR="00343D1B">
              <w:t xml:space="preserve"> before approval by CFO in system</w:t>
            </w:r>
          </w:p>
        </w:tc>
      </w:tr>
      <w:tr w:rsidR="003A7330" w14:paraId="5C2C1999" w14:textId="77777777" w:rsidTr="00F355D4">
        <w:trPr>
          <w:trHeight w:val="300"/>
        </w:trPr>
        <w:tc>
          <w:tcPr>
            <w:tcW w:w="1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5C2C1996" w14:textId="77777777" w:rsidR="003A7330" w:rsidRDefault="003A7330" w:rsidP="00F355D4">
            <w:pPr>
              <w:jc w:val="center"/>
              <w:rPr>
                <w:color w:val="000000"/>
                <w:lang w:val="en-US" w:eastAsia="en-GB"/>
              </w:rPr>
            </w:pPr>
            <w:r>
              <w:rPr>
                <w:color w:val="000000"/>
                <w:lang w:val="en-US" w:eastAsia="en-GB"/>
              </w:rPr>
              <w:t>&gt;100</w:t>
            </w:r>
            <w:r w:rsidR="00F355D4">
              <w:rPr>
                <w:color w:val="000000"/>
                <w:lang w:val="en-US" w:eastAsia="en-GB"/>
              </w:rPr>
              <w:t>,</w:t>
            </w:r>
            <w:r>
              <w:rPr>
                <w:color w:val="000000"/>
                <w:lang w:val="en-US" w:eastAsia="en-GB"/>
              </w:rPr>
              <w:t>000</w:t>
            </w:r>
            <w:r w:rsidR="00F355D4">
              <w:rPr>
                <w:color w:val="000000"/>
                <w:lang w:val="en-US" w:eastAsia="en-GB"/>
              </w:rPr>
              <w:t>.00+</w:t>
            </w:r>
          </w:p>
        </w:tc>
        <w:tc>
          <w:tcPr>
            <w:tcW w:w="4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5C2C1997" w14:textId="77777777" w:rsidR="003A7330" w:rsidRDefault="003A7330">
            <w:pPr>
              <w:rPr>
                <w:color w:val="000000"/>
                <w:lang w:val="en-US" w:eastAsia="en-GB"/>
              </w:rPr>
            </w:pPr>
            <w:r>
              <w:rPr>
                <w:color w:val="000000"/>
                <w:lang w:val="en-US" w:eastAsia="en-GB"/>
              </w:rPr>
              <w:t>CEO</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2C1998" w14:textId="77777777" w:rsidR="003A7330" w:rsidRDefault="00343D1B" w:rsidP="00343D1B">
            <w:r>
              <w:t>PO</w:t>
            </w:r>
            <w:r w:rsidR="00F355D4">
              <w:t xml:space="preserve"> &amp; Invoice</w:t>
            </w:r>
            <w:r>
              <w:t xml:space="preserve"> require approval of relevant GMT member, CFO, PLUS CEO before approval by CEO in system</w:t>
            </w:r>
          </w:p>
        </w:tc>
      </w:tr>
    </w:tbl>
    <w:p w14:paraId="5C2C199A" w14:textId="77777777" w:rsidR="00B96EF4" w:rsidRDefault="00B96EF4" w:rsidP="00EF3DD9">
      <w:pPr>
        <w:rPr>
          <w:rFonts w:cs="Arial"/>
          <w:bCs/>
        </w:rPr>
      </w:pPr>
    </w:p>
    <w:p w14:paraId="5C2C199B" w14:textId="77777777" w:rsidR="00B96EF4" w:rsidRPr="00562548" w:rsidRDefault="00F355D4" w:rsidP="00EF3DD9">
      <w:pPr>
        <w:rPr>
          <w:rFonts w:cs="Arial"/>
          <w:bCs/>
        </w:rPr>
      </w:pPr>
      <w:r>
        <w:rPr>
          <w:rFonts w:cs="Arial"/>
          <w:bCs/>
        </w:rPr>
        <w:t>*</w:t>
      </w:r>
      <w:r w:rsidR="00B96EF4">
        <w:rPr>
          <w:rFonts w:cs="Arial"/>
          <w:bCs/>
        </w:rPr>
        <w:t>Requests for changes to approval limits need to be authorized by the Group Controller</w:t>
      </w:r>
    </w:p>
    <w:sectPr w:rsidR="00B96EF4" w:rsidRPr="00562548" w:rsidSect="008B4C07">
      <w:headerReference w:type="default" r:id="rId13"/>
      <w:footerReference w:type="default" r:id="rId14"/>
      <w:pgSz w:w="11906" w:h="16838"/>
      <w:pgMar w:top="1528"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C199E" w14:textId="77777777" w:rsidR="008820CC" w:rsidRDefault="008820CC" w:rsidP="00622AD9">
      <w:r>
        <w:separator/>
      </w:r>
    </w:p>
  </w:endnote>
  <w:endnote w:type="continuationSeparator" w:id="0">
    <w:p w14:paraId="5C2C199F" w14:textId="77777777" w:rsidR="008820CC" w:rsidRDefault="008820CC" w:rsidP="0062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C19A2" w14:textId="77777777" w:rsidR="00436023" w:rsidRPr="00EF3DD9" w:rsidRDefault="00436023" w:rsidP="00622AD9">
    <w:pPr>
      <w:pStyle w:val="Footer"/>
      <w:pBdr>
        <w:top w:val="single" w:sz="4" w:space="1" w:color="auto"/>
      </w:pBdr>
      <w:rPr>
        <w:sz w:val="16"/>
        <w:szCs w:val="16"/>
      </w:rPr>
    </w:pPr>
    <w:r w:rsidRPr="00EF3DD9">
      <w:rPr>
        <w:sz w:val="16"/>
        <w:szCs w:val="16"/>
      </w:rPr>
      <w:t>Author Name</w:t>
    </w:r>
    <w:r w:rsidR="004C31DA">
      <w:rPr>
        <w:sz w:val="16"/>
        <w:szCs w:val="16"/>
      </w:rPr>
      <w:t>: Sarabjit Birdi</w:t>
    </w:r>
    <w:r w:rsidRPr="00EF3DD9">
      <w:rPr>
        <w:sz w:val="16"/>
        <w:szCs w:val="16"/>
      </w:rPr>
      <w:tab/>
      <w:t>Functional Area / Department</w:t>
    </w:r>
    <w:r w:rsidR="004C31DA">
      <w:rPr>
        <w:sz w:val="16"/>
        <w:szCs w:val="16"/>
      </w:rPr>
      <w:t>: Finance</w:t>
    </w:r>
    <w:r w:rsidRPr="00EF3DD9">
      <w:rPr>
        <w:sz w:val="16"/>
        <w:szCs w:val="16"/>
      </w:rPr>
      <w:tab/>
    </w:r>
    <w:sdt>
      <w:sdtPr>
        <w:rPr>
          <w:sz w:val="16"/>
          <w:szCs w:val="16"/>
        </w:rPr>
        <w:id w:val="343147221"/>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r w:rsidRPr="00EF3DD9">
              <w:rPr>
                <w:sz w:val="16"/>
                <w:szCs w:val="16"/>
              </w:rPr>
              <w:t xml:space="preserve">Page </w:t>
            </w:r>
            <w:r w:rsidRPr="00EF3DD9">
              <w:rPr>
                <w:b/>
                <w:bCs/>
                <w:sz w:val="16"/>
                <w:szCs w:val="16"/>
              </w:rPr>
              <w:fldChar w:fldCharType="begin"/>
            </w:r>
            <w:r w:rsidRPr="00EF3DD9">
              <w:rPr>
                <w:b/>
                <w:bCs/>
                <w:sz w:val="16"/>
                <w:szCs w:val="16"/>
              </w:rPr>
              <w:instrText xml:space="preserve"> PAGE </w:instrText>
            </w:r>
            <w:r w:rsidRPr="00EF3DD9">
              <w:rPr>
                <w:b/>
                <w:bCs/>
                <w:sz w:val="16"/>
                <w:szCs w:val="16"/>
              </w:rPr>
              <w:fldChar w:fldCharType="separate"/>
            </w:r>
            <w:r w:rsidR="00FD05C8">
              <w:rPr>
                <w:b/>
                <w:bCs/>
                <w:noProof/>
                <w:sz w:val="16"/>
                <w:szCs w:val="16"/>
              </w:rPr>
              <w:t>1</w:t>
            </w:r>
            <w:r w:rsidRPr="00EF3DD9">
              <w:rPr>
                <w:b/>
                <w:bCs/>
                <w:sz w:val="16"/>
                <w:szCs w:val="16"/>
              </w:rPr>
              <w:fldChar w:fldCharType="end"/>
            </w:r>
            <w:r w:rsidRPr="00EF3DD9">
              <w:rPr>
                <w:sz w:val="16"/>
                <w:szCs w:val="16"/>
              </w:rPr>
              <w:t xml:space="preserve"> of </w:t>
            </w:r>
            <w:r w:rsidRPr="00EF3DD9">
              <w:rPr>
                <w:b/>
                <w:bCs/>
                <w:sz w:val="16"/>
                <w:szCs w:val="16"/>
              </w:rPr>
              <w:fldChar w:fldCharType="begin"/>
            </w:r>
            <w:r w:rsidRPr="00EF3DD9">
              <w:rPr>
                <w:b/>
                <w:bCs/>
                <w:sz w:val="16"/>
                <w:szCs w:val="16"/>
              </w:rPr>
              <w:instrText xml:space="preserve"> NUMPAGES  </w:instrText>
            </w:r>
            <w:r w:rsidRPr="00EF3DD9">
              <w:rPr>
                <w:b/>
                <w:bCs/>
                <w:sz w:val="16"/>
                <w:szCs w:val="16"/>
              </w:rPr>
              <w:fldChar w:fldCharType="separate"/>
            </w:r>
            <w:r w:rsidR="00FD05C8">
              <w:rPr>
                <w:b/>
                <w:bCs/>
                <w:noProof/>
                <w:sz w:val="16"/>
                <w:szCs w:val="16"/>
              </w:rPr>
              <w:t>6</w:t>
            </w:r>
            <w:r w:rsidRPr="00EF3DD9">
              <w:rPr>
                <w:b/>
                <w:bCs/>
                <w:sz w:val="16"/>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C199C" w14:textId="77777777" w:rsidR="008820CC" w:rsidRDefault="008820CC" w:rsidP="00622AD9">
      <w:r>
        <w:separator/>
      </w:r>
    </w:p>
  </w:footnote>
  <w:footnote w:type="continuationSeparator" w:id="0">
    <w:p w14:paraId="5C2C199D" w14:textId="77777777" w:rsidR="008820CC" w:rsidRDefault="008820CC" w:rsidP="00622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C19A0" w14:textId="77777777" w:rsidR="00436023" w:rsidRPr="00423573" w:rsidRDefault="00436023" w:rsidP="0062729E">
    <w:pPr>
      <w:rPr>
        <w:sz w:val="16"/>
        <w:szCs w:val="16"/>
      </w:rPr>
    </w:pPr>
    <w:r>
      <w:rPr>
        <w:noProof/>
        <w:lang w:eastAsia="zh-CN"/>
      </w:rPr>
      <w:drawing>
        <wp:inline distT="0" distB="0" distL="0" distR="0" wp14:anchorId="5C2C19A3" wp14:editId="5C2C19A4">
          <wp:extent cx="1742533"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711" cy="509512"/>
                  </a:xfrm>
                  <a:prstGeom prst="rect">
                    <a:avLst/>
                  </a:prstGeom>
                  <a:noFill/>
                  <a:ln>
                    <a:noFill/>
                  </a:ln>
                </pic:spPr>
              </pic:pic>
            </a:graphicData>
          </a:graphic>
        </wp:inline>
      </w:drawing>
    </w:r>
    <w:r>
      <w:tab/>
    </w:r>
    <w:r>
      <w:tab/>
    </w:r>
    <w:r>
      <w:rPr>
        <w:sz w:val="16"/>
        <w:szCs w:val="16"/>
      </w:rPr>
      <w:t>Finance: Acc</w:t>
    </w:r>
    <w:r w:rsidRPr="0062729E">
      <w:rPr>
        <w:sz w:val="16"/>
        <w:szCs w:val="16"/>
      </w:rPr>
      <w:t xml:space="preserve">ounts </w:t>
    </w:r>
    <w:r w:rsidR="00423573">
      <w:rPr>
        <w:sz w:val="16"/>
        <w:szCs w:val="16"/>
      </w:rPr>
      <w:t>Payable</w:t>
    </w:r>
    <w:r>
      <w:rPr>
        <w:sz w:val="16"/>
        <w:szCs w:val="16"/>
      </w:rPr>
      <w:t xml:space="preserve"> policy</w:t>
    </w:r>
    <w:r>
      <w:t xml:space="preserve"> </w:t>
    </w:r>
  </w:p>
  <w:p w14:paraId="5C2C19A1" w14:textId="77777777" w:rsidR="00436023" w:rsidRPr="00622AD9" w:rsidRDefault="00436023" w:rsidP="00622A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389D"/>
    <w:multiLevelType w:val="hybridMultilevel"/>
    <w:tmpl w:val="22240E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FF5097"/>
    <w:multiLevelType w:val="hybridMultilevel"/>
    <w:tmpl w:val="08F4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4345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CB4416B"/>
    <w:multiLevelType w:val="multilevel"/>
    <w:tmpl w:val="1054AEC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3C70E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A183082"/>
    <w:multiLevelType w:val="hybridMultilevel"/>
    <w:tmpl w:val="5EC4FEC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771"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nsid w:val="4BF66653"/>
    <w:multiLevelType w:val="hybridMultilevel"/>
    <w:tmpl w:val="8A1A6D20"/>
    <w:lvl w:ilvl="0" w:tplc="0254B83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4CE70A1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71F109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2592D1D"/>
    <w:multiLevelType w:val="hybridMultilevel"/>
    <w:tmpl w:val="4AFAD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754783"/>
    <w:multiLevelType w:val="hybridMultilevel"/>
    <w:tmpl w:val="5A609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67D19C4"/>
    <w:multiLevelType w:val="hybridMultilevel"/>
    <w:tmpl w:val="2D9058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9011EE8"/>
    <w:multiLevelType w:val="multilevel"/>
    <w:tmpl w:val="C19E5948"/>
    <w:lvl w:ilvl="0">
      <w:start w:val="4"/>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6B7C50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EFD2C5C"/>
    <w:multiLevelType w:val="hybridMultilevel"/>
    <w:tmpl w:val="13F4F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27F3837"/>
    <w:multiLevelType w:val="hybridMultilevel"/>
    <w:tmpl w:val="37BA43C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6">
    <w:nsid w:val="72A31AF2"/>
    <w:multiLevelType w:val="multilevel"/>
    <w:tmpl w:val="B91C0308"/>
    <w:lvl w:ilvl="0">
      <w:start w:val="4"/>
      <w:numFmt w:val="decimal"/>
      <w:lvlText w:val="%1"/>
      <w:lvlJc w:val="left"/>
      <w:pPr>
        <w:ind w:left="435" w:hanging="435"/>
      </w:pPr>
      <w:rPr>
        <w:rFonts w:hint="default"/>
        <w:b w:val="0"/>
      </w:rPr>
    </w:lvl>
    <w:lvl w:ilvl="1">
      <w:start w:val="1"/>
      <w:numFmt w:val="decimal"/>
      <w:lvlText w:val="%1.%2"/>
      <w:lvlJc w:val="left"/>
      <w:pPr>
        <w:ind w:left="615" w:hanging="435"/>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7">
    <w:nsid w:val="756C1003"/>
    <w:multiLevelType w:val="hybridMultilevel"/>
    <w:tmpl w:val="CEA428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9BE4F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
  </w:num>
  <w:num w:numId="3">
    <w:abstractNumId w:val="14"/>
  </w:num>
  <w:num w:numId="4">
    <w:abstractNumId w:val="0"/>
  </w:num>
  <w:num w:numId="5">
    <w:abstractNumId w:val="6"/>
  </w:num>
  <w:num w:numId="6">
    <w:abstractNumId w:val="1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9"/>
  </w:num>
  <w:num w:numId="10">
    <w:abstractNumId w:val="11"/>
  </w:num>
  <w:num w:numId="11">
    <w:abstractNumId w:val="17"/>
  </w:num>
  <w:num w:numId="12">
    <w:abstractNumId w:val="4"/>
  </w:num>
  <w:num w:numId="13">
    <w:abstractNumId w:val="8"/>
  </w:num>
  <w:num w:numId="14">
    <w:abstractNumId w:val="7"/>
  </w:num>
  <w:num w:numId="15">
    <w:abstractNumId w:val="3"/>
  </w:num>
  <w:num w:numId="16">
    <w:abstractNumId w:val="16"/>
  </w:num>
  <w:num w:numId="17">
    <w:abstractNumId w:val="13"/>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548"/>
    <w:rsid w:val="00020448"/>
    <w:rsid w:val="00080545"/>
    <w:rsid w:val="001106DF"/>
    <w:rsid w:val="001276FF"/>
    <w:rsid w:val="0018186D"/>
    <w:rsid w:val="001A4743"/>
    <w:rsid w:val="0020526B"/>
    <w:rsid w:val="00216A01"/>
    <w:rsid w:val="002550D6"/>
    <w:rsid w:val="002641E1"/>
    <w:rsid w:val="002C1A66"/>
    <w:rsid w:val="002F2065"/>
    <w:rsid w:val="003003DB"/>
    <w:rsid w:val="003311DD"/>
    <w:rsid w:val="00343D1B"/>
    <w:rsid w:val="003603F2"/>
    <w:rsid w:val="003910FF"/>
    <w:rsid w:val="003A7330"/>
    <w:rsid w:val="003D0E24"/>
    <w:rsid w:val="00423573"/>
    <w:rsid w:val="00436023"/>
    <w:rsid w:val="00442D48"/>
    <w:rsid w:val="00461BD3"/>
    <w:rsid w:val="004749EA"/>
    <w:rsid w:val="004A01F5"/>
    <w:rsid w:val="004B2422"/>
    <w:rsid w:val="004C31DA"/>
    <w:rsid w:val="004C5D33"/>
    <w:rsid w:val="004E631F"/>
    <w:rsid w:val="00517911"/>
    <w:rsid w:val="005310BB"/>
    <w:rsid w:val="005343E3"/>
    <w:rsid w:val="00562548"/>
    <w:rsid w:val="00587CE8"/>
    <w:rsid w:val="005A6435"/>
    <w:rsid w:val="005B3B6A"/>
    <w:rsid w:val="005B6C40"/>
    <w:rsid w:val="005C7E47"/>
    <w:rsid w:val="0060083C"/>
    <w:rsid w:val="00622AD9"/>
    <w:rsid w:val="0062729E"/>
    <w:rsid w:val="006613E5"/>
    <w:rsid w:val="006A0431"/>
    <w:rsid w:val="006A48BE"/>
    <w:rsid w:val="006B793B"/>
    <w:rsid w:val="006C0F83"/>
    <w:rsid w:val="00743F81"/>
    <w:rsid w:val="007A370D"/>
    <w:rsid w:val="00834854"/>
    <w:rsid w:val="008820CC"/>
    <w:rsid w:val="008952DC"/>
    <w:rsid w:val="008B4C07"/>
    <w:rsid w:val="008D064A"/>
    <w:rsid w:val="008E3BEA"/>
    <w:rsid w:val="008E7B9A"/>
    <w:rsid w:val="008F7863"/>
    <w:rsid w:val="009179B1"/>
    <w:rsid w:val="00944F7E"/>
    <w:rsid w:val="009525C4"/>
    <w:rsid w:val="009A18D4"/>
    <w:rsid w:val="009E7946"/>
    <w:rsid w:val="00A343EA"/>
    <w:rsid w:val="00A6630C"/>
    <w:rsid w:val="00A77C7D"/>
    <w:rsid w:val="00A860CF"/>
    <w:rsid w:val="00AA4A8C"/>
    <w:rsid w:val="00AF3BD8"/>
    <w:rsid w:val="00AF6B00"/>
    <w:rsid w:val="00B4056E"/>
    <w:rsid w:val="00B44639"/>
    <w:rsid w:val="00B96EF4"/>
    <w:rsid w:val="00BB2E0F"/>
    <w:rsid w:val="00BB5DB7"/>
    <w:rsid w:val="00BD161E"/>
    <w:rsid w:val="00BD3092"/>
    <w:rsid w:val="00C15929"/>
    <w:rsid w:val="00C4058D"/>
    <w:rsid w:val="00C54E09"/>
    <w:rsid w:val="00C72AA5"/>
    <w:rsid w:val="00C979CD"/>
    <w:rsid w:val="00CA748F"/>
    <w:rsid w:val="00CE274D"/>
    <w:rsid w:val="00D16E1F"/>
    <w:rsid w:val="00D214CD"/>
    <w:rsid w:val="00D2314E"/>
    <w:rsid w:val="00D4406D"/>
    <w:rsid w:val="00D6101F"/>
    <w:rsid w:val="00D65440"/>
    <w:rsid w:val="00D9736A"/>
    <w:rsid w:val="00DA4A81"/>
    <w:rsid w:val="00DC213E"/>
    <w:rsid w:val="00DD4B4D"/>
    <w:rsid w:val="00DE269B"/>
    <w:rsid w:val="00E11A1A"/>
    <w:rsid w:val="00E370CE"/>
    <w:rsid w:val="00E45ED2"/>
    <w:rsid w:val="00E9569E"/>
    <w:rsid w:val="00EA157A"/>
    <w:rsid w:val="00ED1284"/>
    <w:rsid w:val="00EE3A6B"/>
    <w:rsid w:val="00EF3DD9"/>
    <w:rsid w:val="00F355D4"/>
    <w:rsid w:val="00FA3C01"/>
    <w:rsid w:val="00FA78D8"/>
    <w:rsid w:val="00FB62FB"/>
    <w:rsid w:val="00FD05C8"/>
    <w:rsid w:val="00FD2C14"/>
    <w:rsid w:val="00FF086B"/>
    <w:rsid w:val="00FF7B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2C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D9"/>
    <w:pPr>
      <w:spacing w:after="0" w:line="240" w:lineRule="auto"/>
    </w:pPr>
    <w:rPr>
      <w:rFonts w:ascii="Arial" w:hAnsi="Arial"/>
    </w:rPr>
  </w:style>
  <w:style w:type="paragraph" w:styleId="Heading1">
    <w:name w:val="heading 1"/>
    <w:basedOn w:val="Normal"/>
    <w:next w:val="Normal"/>
    <w:link w:val="Heading1Char"/>
    <w:autoRedefine/>
    <w:uiPriority w:val="9"/>
    <w:qFormat/>
    <w:rsid w:val="00EF3DD9"/>
    <w:pPr>
      <w:keepNext/>
      <w:keepLines/>
      <w:spacing w:before="120" w:after="120"/>
      <w:outlineLvl w:val="0"/>
    </w:pPr>
    <w:rPr>
      <w:rFonts w:eastAsiaTheme="majorEastAsia" w:cstheme="minorHAnsi"/>
      <w:b/>
      <w:bCs/>
      <w:sz w:val="40"/>
      <w:szCs w:val="40"/>
    </w:rPr>
  </w:style>
  <w:style w:type="paragraph" w:styleId="Heading2">
    <w:name w:val="heading 2"/>
    <w:basedOn w:val="Normal"/>
    <w:next w:val="Normal"/>
    <w:link w:val="Heading2Char"/>
    <w:autoRedefine/>
    <w:uiPriority w:val="9"/>
    <w:unhideWhenUsed/>
    <w:qFormat/>
    <w:rsid w:val="006A48BE"/>
    <w:pPr>
      <w:keepNext/>
      <w:keepLines/>
      <w:spacing w:before="120" w:after="120"/>
      <w:outlineLvl w:val="1"/>
    </w:pPr>
    <w:rPr>
      <w:rFonts w:eastAsiaTheme="majorEastAsia" w:cstheme="minorHAnsi"/>
      <w:b/>
      <w:bCs/>
      <w:sz w:val="32"/>
      <w:szCs w:val="32"/>
    </w:rPr>
  </w:style>
  <w:style w:type="paragraph" w:styleId="Heading3">
    <w:name w:val="heading 3"/>
    <w:basedOn w:val="Normal"/>
    <w:next w:val="Normal"/>
    <w:link w:val="Heading3Char"/>
    <w:uiPriority w:val="9"/>
    <w:unhideWhenUsed/>
    <w:qFormat/>
    <w:rsid w:val="00EF3DD9"/>
    <w:pPr>
      <w:keepNext/>
      <w:keepLines/>
      <w:spacing w:before="200"/>
      <w:outlineLvl w:val="2"/>
    </w:pPr>
    <w:rPr>
      <w:rFonts w:eastAsiaTheme="majorEastAsia" w:cstheme="minorHAnsi"/>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2AD9"/>
    <w:pPr>
      <w:tabs>
        <w:tab w:val="center" w:pos="4513"/>
        <w:tab w:val="right" w:pos="9026"/>
      </w:tabs>
    </w:pPr>
  </w:style>
  <w:style w:type="character" w:customStyle="1" w:styleId="HeaderChar">
    <w:name w:val="Header Char"/>
    <w:basedOn w:val="DefaultParagraphFont"/>
    <w:link w:val="Header"/>
    <w:uiPriority w:val="99"/>
    <w:rsid w:val="00622AD9"/>
  </w:style>
  <w:style w:type="paragraph" w:styleId="Footer">
    <w:name w:val="footer"/>
    <w:basedOn w:val="Normal"/>
    <w:link w:val="FooterChar"/>
    <w:uiPriority w:val="99"/>
    <w:unhideWhenUsed/>
    <w:rsid w:val="00622AD9"/>
    <w:pPr>
      <w:tabs>
        <w:tab w:val="center" w:pos="4513"/>
        <w:tab w:val="right" w:pos="9026"/>
      </w:tabs>
    </w:pPr>
  </w:style>
  <w:style w:type="character" w:customStyle="1" w:styleId="FooterChar">
    <w:name w:val="Footer Char"/>
    <w:basedOn w:val="DefaultParagraphFont"/>
    <w:link w:val="Footer"/>
    <w:uiPriority w:val="99"/>
    <w:rsid w:val="00622AD9"/>
  </w:style>
  <w:style w:type="paragraph" w:styleId="BalloonText">
    <w:name w:val="Balloon Text"/>
    <w:basedOn w:val="Normal"/>
    <w:link w:val="BalloonTextChar"/>
    <w:uiPriority w:val="99"/>
    <w:semiHidden/>
    <w:unhideWhenUsed/>
    <w:rsid w:val="00622AD9"/>
    <w:rPr>
      <w:rFonts w:ascii="Tahoma" w:hAnsi="Tahoma" w:cs="Tahoma"/>
      <w:sz w:val="16"/>
      <w:szCs w:val="16"/>
    </w:rPr>
  </w:style>
  <w:style w:type="character" w:customStyle="1" w:styleId="BalloonTextChar">
    <w:name w:val="Balloon Text Char"/>
    <w:basedOn w:val="DefaultParagraphFont"/>
    <w:link w:val="BalloonText"/>
    <w:uiPriority w:val="99"/>
    <w:semiHidden/>
    <w:rsid w:val="00622AD9"/>
    <w:rPr>
      <w:rFonts w:ascii="Tahoma" w:hAnsi="Tahoma" w:cs="Tahoma"/>
      <w:sz w:val="16"/>
      <w:szCs w:val="16"/>
    </w:rPr>
  </w:style>
  <w:style w:type="paragraph" w:styleId="NoSpacing">
    <w:name w:val="No Spacing"/>
    <w:uiPriority w:val="1"/>
    <w:qFormat/>
    <w:rsid w:val="00622AD9"/>
    <w:pPr>
      <w:spacing w:after="0" w:line="240" w:lineRule="auto"/>
    </w:pPr>
  </w:style>
  <w:style w:type="character" w:customStyle="1" w:styleId="Heading1Char">
    <w:name w:val="Heading 1 Char"/>
    <w:basedOn w:val="DefaultParagraphFont"/>
    <w:link w:val="Heading1"/>
    <w:uiPriority w:val="9"/>
    <w:rsid w:val="00EF3DD9"/>
    <w:rPr>
      <w:rFonts w:ascii="Arial" w:eastAsiaTheme="majorEastAsia" w:hAnsi="Arial" w:cstheme="minorHAnsi"/>
      <w:b/>
      <w:bCs/>
      <w:sz w:val="40"/>
      <w:szCs w:val="40"/>
    </w:rPr>
  </w:style>
  <w:style w:type="character" w:customStyle="1" w:styleId="Heading2Char">
    <w:name w:val="Heading 2 Char"/>
    <w:basedOn w:val="DefaultParagraphFont"/>
    <w:link w:val="Heading2"/>
    <w:uiPriority w:val="9"/>
    <w:rsid w:val="006A48BE"/>
    <w:rPr>
      <w:rFonts w:ascii="Arial" w:eastAsiaTheme="majorEastAsia" w:hAnsi="Arial" w:cstheme="minorHAnsi"/>
      <w:b/>
      <w:bCs/>
      <w:sz w:val="32"/>
      <w:szCs w:val="32"/>
    </w:rPr>
  </w:style>
  <w:style w:type="character" w:customStyle="1" w:styleId="Heading3Char">
    <w:name w:val="Heading 3 Char"/>
    <w:basedOn w:val="DefaultParagraphFont"/>
    <w:link w:val="Heading3"/>
    <w:uiPriority w:val="9"/>
    <w:rsid w:val="00EF3DD9"/>
    <w:rPr>
      <w:rFonts w:ascii="Arial" w:eastAsiaTheme="majorEastAsia" w:hAnsi="Arial" w:cstheme="minorHAnsi"/>
      <w:b/>
      <w:bCs/>
      <w:i/>
      <w:sz w:val="28"/>
      <w:szCs w:val="28"/>
    </w:rPr>
  </w:style>
  <w:style w:type="table" w:styleId="TableGrid">
    <w:name w:val="Table Grid"/>
    <w:basedOn w:val="TableNormal"/>
    <w:uiPriority w:val="59"/>
    <w:rsid w:val="00562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EF3DD9"/>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F3DD9"/>
    <w:rPr>
      <w:rFonts w:ascii="Times New Roman" w:eastAsia="Times New Roman" w:hAnsi="Times New Roman" w:cs="Times New Roman"/>
      <w:sz w:val="20"/>
      <w:szCs w:val="20"/>
    </w:rPr>
  </w:style>
  <w:style w:type="paragraph" w:customStyle="1" w:styleId="Tableheadings">
    <w:name w:val="Table headings"/>
    <w:basedOn w:val="Normal"/>
    <w:link w:val="TableheadingsChar"/>
    <w:autoRedefine/>
    <w:qFormat/>
    <w:rsid w:val="00EF3DD9"/>
    <w:pPr>
      <w:spacing w:before="120" w:after="120"/>
    </w:pPr>
    <w:rPr>
      <w:b/>
    </w:rPr>
  </w:style>
  <w:style w:type="paragraph" w:styleId="ListParagraph">
    <w:name w:val="List Paragraph"/>
    <w:basedOn w:val="Normal"/>
    <w:uiPriority w:val="34"/>
    <w:qFormat/>
    <w:rsid w:val="00EF3DD9"/>
    <w:pPr>
      <w:ind w:left="720"/>
      <w:contextualSpacing/>
    </w:pPr>
  </w:style>
  <w:style w:type="character" w:customStyle="1" w:styleId="TableheadingsChar">
    <w:name w:val="Table headings Char"/>
    <w:basedOn w:val="DefaultParagraphFont"/>
    <w:link w:val="Tableheadings"/>
    <w:rsid w:val="00EF3DD9"/>
    <w:rPr>
      <w:rFonts w:ascii="Arial" w:hAnsi="Arial"/>
      <w:b/>
    </w:rPr>
  </w:style>
  <w:style w:type="paragraph" w:customStyle="1" w:styleId="InstructionNote">
    <w:name w:val="Instruction Note"/>
    <w:basedOn w:val="Normal"/>
    <w:link w:val="InstructionNoteChar"/>
    <w:qFormat/>
    <w:rsid w:val="00EF3DD9"/>
    <w:rPr>
      <w:i/>
      <w:sz w:val="16"/>
    </w:rPr>
  </w:style>
  <w:style w:type="paragraph" w:styleId="TOCHeading">
    <w:name w:val="TOC Heading"/>
    <w:basedOn w:val="Heading1"/>
    <w:next w:val="Normal"/>
    <w:uiPriority w:val="39"/>
    <w:unhideWhenUsed/>
    <w:qFormat/>
    <w:rsid w:val="00EF3DD9"/>
    <w:pPr>
      <w:spacing w:before="480" w:after="0" w:line="276" w:lineRule="auto"/>
      <w:outlineLvl w:val="9"/>
    </w:pPr>
    <w:rPr>
      <w:rFonts w:asciiTheme="majorHAnsi" w:hAnsiTheme="majorHAnsi" w:cstheme="majorBidi"/>
      <w:color w:val="365F91" w:themeColor="accent1" w:themeShade="BF"/>
      <w:sz w:val="28"/>
      <w:szCs w:val="28"/>
      <w:lang w:val="en-US" w:eastAsia="ja-JP"/>
    </w:rPr>
  </w:style>
  <w:style w:type="character" w:customStyle="1" w:styleId="InstructionNoteChar">
    <w:name w:val="Instruction Note Char"/>
    <w:basedOn w:val="DefaultParagraphFont"/>
    <w:link w:val="InstructionNote"/>
    <w:rsid w:val="00EF3DD9"/>
    <w:rPr>
      <w:rFonts w:ascii="Arial" w:hAnsi="Arial"/>
      <w:i/>
      <w:sz w:val="16"/>
    </w:rPr>
  </w:style>
  <w:style w:type="paragraph" w:styleId="TOC1">
    <w:name w:val="toc 1"/>
    <w:basedOn w:val="Normal"/>
    <w:next w:val="Normal"/>
    <w:autoRedefine/>
    <w:uiPriority w:val="39"/>
    <w:unhideWhenUsed/>
    <w:rsid w:val="00EF3DD9"/>
    <w:pPr>
      <w:spacing w:after="100"/>
    </w:pPr>
  </w:style>
  <w:style w:type="character" w:styleId="Hyperlink">
    <w:name w:val="Hyperlink"/>
    <w:basedOn w:val="DefaultParagraphFont"/>
    <w:uiPriority w:val="99"/>
    <w:unhideWhenUsed/>
    <w:rsid w:val="00EF3DD9"/>
    <w:rPr>
      <w:color w:val="0000FF" w:themeColor="hyperlink"/>
      <w:u w:val="single"/>
    </w:rPr>
  </w:style>
  <w:style w:type="paragraph" w:styleId="TOC2">
    <w:name w:val="toc 2"/>
    <w:basedOn w:val="Normal"/>
    <w:next w:val="Normal"/>
    <w:autoRedefine/>
    <w:uiPriority w:val="39"/>
    <w:unhideWhenUsed/>
    <w:rsid w:val="00BB5DB7"/>
    <w:pPr>
      <w:spacing w:after="100"/>
      <w:ind w:left="220"/>
    </w:pPr>
  </w:style>
  <w:style w:type="paragraph" w:styleId="TOC3">
    <w:name w:val="toc 3"/>
    <w:basedOn w:val="Normal"/>
    <w:next w:val="Normal"/>
    <w:autoRedefine/>
    <w:uiPriority w:val="39"/>
    <w:unhideWhenUsed/>
    <w:rsid w:val="00BB5DB7"/>
    <w:pPr>
      <w:spacing w:after="100"/>
      <w:ind w:left="440"/>
    </w:pPr>
  </w:style>
  <w:style w:type="character" w:styleId="CommentReference">
    <w:name w:val="annotation reference"/>
    <w:basedOn w:val="DefaultParagraphFont"/>
    <w:uiPriority w:val="99"/>
    <w:semiHidden/>
    <w:unhideWhenUsed/>
    <w:rsid w:val="006613E5"/>
    <w:rPr>
      <w:sz w:val="16"/>
      <w:szCs w:val="16"/>
    </w:rPr>
  </w:style>
  <w:style w:type="paragraph" w:styleId="CommentSubject">
    <w:name w:val="annotation subject"/>
    <w:basedOn w:val="CommentText"/>
    <w:next w:val="CommentText"/>
    <w:link w:val="CommentSubjectChar"/>
    <w:uiPriority w:val="99"/>
    <w:semiHidden/>
    <w:unhideWhenUsed/>
    <w:rsid w:val="006613E5"/>
    <w:pPr>
      <w:jc w:val="left"/>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6613E5"/>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D9"/>
    <w:pPr>
      <w:spacing w:after="0" w:line="240" w:lineRule="auto"/>
    </w:pPr>
    <w:rPr>
      <w:rFonts w:ascii="Arial" w:hAnsi="Arial"/>
    </w:rPr>
  </w:style>
  <w:style w:type="paragraph" w:styleId="Heading1">
    <w:name w:val="heading 1"/>
    <w:basedOn w:val="Normal"/>
    <w:next w:val="Normal"/>
    <w:link w:val="Heading1Char"/>
    <w:autoRedefine/>
    <w:uiPriority w:val="9"/>
    <w:qFormat/>
    <w:rsid w:val="00EF3DD9"/>
    <w:pPr>
      <w:keepNext/>
      <w:keepLines/>
      <w:spacing w:before="120" w:after="120"/>
      <w:outlineLvl w:val="0"/>
    </w:pPr>
    <w:rPr>
      <w:rFonts w:eastAsiaTheme="majorEastAsia" w:cstheme="minorHAnsi"/>
      <w:b/>
      <w:bCs/>
      <w:sz w:val="40"/>
      <w:szCs w:val="40"/>
    </w:rPr>
  </w:style>
  <w:style w:type="paragraph" w:styleId="Heading2">
    <w:name w:val="heading 2"/>
    <w:basedOn w:val="Normal"/>
    <w:next w:val="Normal"/>
    <w:link w:val="Heading2Char"/>
    <w:autoRedefine/>
    <w:uiPriority w:val="9"/>
    <w:unhideWhenUsed/>
    <w:qFormat/>
    <w:rsid w:val="006A48BE"/>
    <w:pPr>
      <w:keepNext/>
      <w:keepLines/>
      <w:spacing w:before="120" w:after="120"/>
      <w:outlineLvl w:val="1"/>
    </w:pPr>
    <w:rPr>
      <w:rFonts w:eastAsiaTheme="majorEastAsia" w:cstheme="minorHAnsi"/>
      <w:b/>
      <w:bCs/>
      <w:sz w:val="32"/>
      <w:szCs w:val="32"/>
    </w:rPr>
  </w:style>
  <w:style w:type="paragraph" w:styleId="Heading3">
    <w:name w:val="heading 3"/>
    <w:basedOn w:val="Normal"/>
    <w:next w:val="Normal"/>
    <w:link w:val="Heading3Char"/>
    <w:uiPriority w:val="9"/>
    <w:unhideWhenUsed/>
    <w:qFormat/>
    <w:rsid w:val="00EF3DD9"/>
    <w:pPr>
      <w:keepNext/>
      <w:keepLines/>
      <w:spacing w:before="200"/>
      <w:outlineLvl w:val="2"/>
    </w:pPr>
    <w:rPr>
      <w:rFonts w:eastAsiaTheme="majorEastAsia" w:cstheme="minorHAnsi"/>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2AD9"/>
    <w:pPr>
      <w:tabs>
        <w:tab w:val="center" w:pos="4513"/>
        <w:tab w:val="right" w:pos="9026"/>
      </w:tabs>
    </w:pPr>
  </w:style>
  <w:style w:type="character" w:customStyle="1" w:styleId="HeaderChar">
    <w:name w:val="Header Char"/>
    <w:basedOn w:val="DefaultParagraphFont"/>
    <w:link w:val="Header"/>
    <w:uiPriority w:val="99"/>
    <w:rsid w:val="00622AD9"/>
  </w:style>
  <w:style w:type="paragraph" w:styleId="Footer">
    <w:name w:val="footer"/>
    <w:basedOn w:val="Normal"/>
    <w:link w:val="FooterChar"/>
    <w:uiPriority w:val="99"/>
    <w:unhideWhenUsed/>
    <w:rsid w:val="00622AD9"/>
    <w:pPr>
      <w:tabs>
        <w:tab w:val="center" w:pos="4513"/>
        <w:tab w:val="right" w:pos="9026"/>
      </w:tabs>
    </w:pPr>
  </w:style>
  <w:style w:type="character" w:customStyle="1" w:styleId="FooterChar">
    <w:name w:val="Footer Char"/>
    <w:basedOn w:val="DefaultParagraphFont"/>
    <w:link w:val="Footer"/>
    <w:uiPriority w:val="99"/>
    <w:rsid w:val="00622AD9"/>
  </w:style>
  <w:style w:type="paragraph" w:styleId="BalloonText">
    <w:name w:val="Balloon Text"/>
    <w:basedOn w:val="Normal"/>
    <w:link w:val="BalloonTextChar"/>
    <w:uiPriority w:val="99"/>
    <w:semiHidden/>
    <w:unhideWhenUsed/>
    <w:rsid w:val="00622AD9"/>
    <w:rPr>
      <w:rFonts w:ascii="Tahoma" w:hAnsi="Tahoma" w:cs="Tahoma"/>
      <w:sz w:val="16"/>
      <w:szCs w:val="16"/>
    </w:rPr>
  </w:style>
  <w:style w:type="character" w:customStyle="1" w:styleId="BalloonTextChar">
    <w:name w:val="Balloon Text Char"/>
    <w:basedOn w:val="DefaultParagraphFont"/>
    <w:link w:val="BalloonText"/>
    <w:uiPriority w:val="99"/>
    <w:semiHidden/>
    <w:rsid w:val="00622AD9"/>
    <w:rPr>
      <w:rFonts w:ascii="Tahoma" w:hAnsi="Tahoma" w:cs="Tahoma"/>
      <w:sz w:val="16"/>
      <w:szCs w:val="16"/>
    </w:rPr>
  </w:style>
  <w:style w:type="paragraph" w:styleId="NoSpacing">
    <w:name w:val="No Spacing"/>
    <w:uiPriority w:val="1"/>
    <w:qFormat/>
    <w:rsid w:val="00622AD9"/>
    <w:pPr>
      <w:spacing w:after="0" w:line="240" w:lineRule="auto"/>
    </w:pPr>
  </w:style>
  <w:style w:type="character" w:customStyle="1" w:styleId="Heading1Char">
    <w:name w:val="Heading 1 Char"/>
    <w:basedOn w:val="DefaultParagraphFont"/>
    <w:link w:val="Heading1"/>
    <w:uiPriority w:val="9"/>
    <w:rsid w:val="00EF3DD9"/>
    <w:rPr>
      <w:rFonts w:ascii="Arial" w:eastAsiaTheme="majorEastAsia" w:hAnsi="Arial" w:cstheme="minorHAnsi"/>
      <w:b/>
      <w:bCs/>
      <w:sz w:val="40"/>
      <w:szCs w:val="40"/>
    </w:rPr>
  </w:style>
  <w:style w:type="character" w:customStyle="1" w:styleId="Heading2Char">
    <w:name w:val="Heading 2 Char"/>
    <w:basedOn w:val="DefaultParagraphFont"/>
    <w:link w:val="Heading2"/>
    <w:uiPriority w:val="9"/>
    <w:rsid w:val="006A48BE"/>
    <w:rPr>
      <w:rFonts w:ascii="Arial" w:eastAsiaTheme="majorEastAsia" w:hAnsi="Arial" w:cstheme="minorHAnsi"/>
      <w:b/>
      <w:bCs/>
      <w:sz w:val="32"/>
      <w:szCs w:val="32"/>
    </w:rPr>
  </w:style>
  <w:style w:type="character" w:customStyle="1" w:styleId="Heading3Char">
    <w:name w:val="Heading 3 Char"/>
    <w:basedOn w:val="DefaultParagraphFont"/>
    <w:link w:val="Heading3"/>
    <w:uiPriority w:val="9"/>
    <w:rsid w:val="00EF3DD9"/>
    <w:rPr>
      <w:rFonts w:ascii="Arial" w:eastAsiaTheme="majorEastAsia" w:hAnsi="Arial" w:cstheme="minorHAnsi"/>
      <w:b/>
      <w:bCs/>
      <w:i/>
      <w:sz w:val="28"/>
      <w:szCs w:val="28"/>
    </w:rPr>
  </w:style>
  <w:style w:type="table" w:styleId="TableGrid">
    <w:name w:val="Table Grid"/>
    <w:basedOn w:val="TableNormal"/>
    <w:uiPriority w:val="59"/>
    <w:rsid w:val="00562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EF3DD9"/>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F3DD9"/>
    <w:rPr>
      <w:rFonts w:ascii="Times New Roman" w:eastAsia="Times New Roman" w:hAnsi="Times New Roman" w:cs="Times New Roman"/>
      <w:sz w:val="20"/>
      <w:szCs w:val="20"/>
    </w:rPr>
  </w:style>
  <w:style w:type="paragraph" w:customStyle="1" w:styleId="Tableheadings">
    <w:name w:val="Table headings"/>
    <w:basedOn w:val="Normal"/>
    <w:link w:val="TableheadingsChar"/>
    <w:autoRedefine/>
    <w:qFormat/>
    <w:rsid w:val="00EF3DD9"/>
    <w:pPr>
      <w:spacing w:before="120" w:after="120"/>
    </w:pPr>
    <w:rPr>
      <w:b/>
    </w:rPr>
  </w:style>
  <w:style w:type="paragraph" w:styleId="ListParagraph">
    <w:name w:val="List Paragraph"/>
    <w:basedOn w:val="Normal"/>
    <w:uiPriority w:val="34"/>
    <w:qFormat/>
    <w:rsid w:val="00EF3DD9"/>
    <w:pPr>
      <w:ind w:left="720"/>
      <w:contextualSpacing/>
    </w:pPr>
  </w:style>
  <w:style w:type="character" w:customStyle="1" w:styleId="TableheadingsChar">
    <w:name w:val="Table headings Char"/>
    <w:basedOn w:val="DefaultParagraphFont"/>
    <w:link w:val="Tableheadings"/>
    <w:rsid w:val="00EF3DD9"/>
    <w:rPr>
      <w:rFonts w:ascii="Arial" w:hAnsi="Arial"/>
      <w:b/>
    </w:rPr>
  </w:style>
  <w:style w:type="paragraph" w:customStyle="1" w:styleId="InstructionNote">
    <w:name w:val="Instruction Note"/>
    <w:basedOn w:val="Normal"/>
    <w:link w:val="InstructionNoteChar"/>
    <w:qFormat/>
    <w:rsid w:val="00EF3DD9"/>
    <w:rPr>
      <w:i/>
      <w:sz w:val="16"/>
    </w:rPr>
  </w:style>
  <w:style w:type="paragraph" w:styleId="TOCHeading">
    <w:name w:val="TOC Heading"/>
    <w:basedOn w:val="Heading1"/>
    <w:next w:val="Normal"/>
    <w:uiPriority w:val="39"/>
    <w:unhideWhenUsed/>
    <w:qFormat/>
    <w:rsid w:val="00EF3DD9"/>
    <w:pPr>
      <w:spacing w:before="480" w:after="0" w:line="276" w:lineRule="auto"/>
      <w:outlineLvl w:val="9"/>
    </w:pPr>
    <w:rPr>
      <w:rFonts w:asciiTheme="majorHAnsi" w:hAnsiTheme="majorHAnsi" w:cstheme="majorBidi"/>
      <w:color w:val="365F91" w:themeColor="accent1" w:themeShade="BF"/>
      <w:sz w:val="28"/>
      <w:szCs w:val="28"/>
      <w:lang w:val="en-US" w:eastAsia="ja-JP"/>
    </w:rPr>
  </w:style>
  <w:style w:type="character" w:customStyle="1" w:styleId="InstructionNoteChar">
    <w:name w:val="Instruction Note Char"/>
    <w:basedOn w:val="DefaultParagraphFont"/>
    <w:link w:val="InstructionNote"/>
    <w:rsid w:val="00EF3DD9"/>
    <w:rPr>
      <w:rFonts w:ascii="Arial" w:hAnsi="Arial"/>
      <w:i/>
      <w:sz w:val="16"/>
    </w:rPr>
  </w:style>
  <w:style w:type="paragraph" w:styleId="TOC1">
    <w:name w:val="toc 1"/>
    <w:basedOn w:val="Normal"/>
    <w:next w:val="Normal"/>
    <w:autoRedefine/>
    <w:uiPriority w:val="39"/>
    <w:unhideWhenUsed/>
    <w:rsid w:val="00EF3DD9"/>
    <w:pPr>
      <w:spacing w:after="100"/>
    </w:pPr>
  </w:style>
  <w:style w:type="character" w:styleId="Hyperlink">
    <w:name w:val="Hyperlink"/>
    <w:basedOn w:val="DefaultParagraphFont"/>
    <w:uiPriority w:val="99"/>
    <w:unhideWhenUsed/>
    <w:rsid w:val="00EF3DD9"/>
    <w:rPr>
      <w:color w:val="0000FF" w:themeColor="hyperlink"/>
      <w:u w:val="single"/>
    </w:rPr>
  </w:style>
  <w:style w:type="paragraph" w:styleId="TOC2">
    <w:name w:val="toc 2"/>
    <w:basedOn w:val="Normal"/>
    <w:next w:val="Normal"/>
    <w:autoRedefine/>
    <w:uiPriority w:val="39"/>
    <w:unhideWhenUsed/>
    <w:rsid w:val="00BB5DB7"/>
    <w:pPr>
      <w:spacing w:after="100"/>
      <w:ind w:left="220"/>
    </w:pPr>
  </w:style>
  <w:style w:type="paragraph" w:styleId="TOC3">
    <w:name w:val="toc 3"/>
    <w:basedOn w:val="Normal"/>
    <w:next w:val="Normal"/>
    <w:autoRedefine/>
    <w:uiPriority w:val="39"/>
    <w:unhideWhenUsed/>
    <w:rsid w:val="00BB5DB7"/>
    <w:pPr>
      <w:spacing w:after="100"/>
      <w:ind w:left="440"/>
    </w:pPr>
  </w:style>
  <w:style w:type="character" w:styleId="CommentReference">
    <w:name w:val="annotation reference"/>
    <w:basedOn w:val="DefaultParagraphFont"/>
    <w:uiPriority w:val="99"/>
    <w:semiHidden/>
    <w:unhideWhenUsed/>
    <w:rsid w:val="006613E5"/>
    <w:rPr>
      <w:sz w:val="16"/>
      <w:szCs w:val="16"/>
    </w:rPr>
  </w:style>
  <w:style w:type="paragraph" w:styleId="CommentSubject">
    <w:name w:val="annotation subject"/>
    <w:basedOn w:val="CommentText"/>
    <w:next w:val="CommentText"/>
    <w:link w:val="CommentSubjectChar"/>
    <w:uiPriority w:val="99"/>
    <w:semiHidden/>
    <w:unhideWhenUsed/>
    <w:rsid w:val="006613E5"/>
    <w:pPr>
      <w:jc w:val="left"/>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6613E5"/>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366456">
      <w:bodyDiv w:val="1"/>
      <w:marLeft w:val="0"/>
      <w:marRight w:val="0"/>
      <w:marTop w:val="0"/>
      <w:marBottom w:val="0"/>
      <w:divBdr>
        <w:top w:val="none" w:sz="0" w:space="0" w:color="auto"/>
        <w:left w:val="none" w:sz="0" w:space="0" w:color="auto"/>
        <w:bottom w:val="none" w:sz="0" w:space="0" w:color="auto"/>
        <w:right w:val="none" w:sz="0" w:space="0" w:color="auto"/>
      </w:divBdr>
    </w:div>
    <w:div w:id="832332697">
      <w:bodyDiv w:val="1"/>
      <w:marLeft w:val="0"/>
      <w:marRight w:val="0"/>
      <w:marTop w:val="0"/>
      <w:marBottom w:val="0"/>
      <w:divBdr>
        <w:top w:val="none" w:sz="0" w:space="0" w:color="auto"/>
        <w:left w:val="none" w:sz="0" w:space="0" w:color="auto"/>
        <w:bottom w:val="none" w:sz="0" w:space="0" w:color="auto"/>
        <w:right w:val="none" w:sz="0" w:space="0" w:color="auto"/>
      </w:divBdr>
    </w:div>
    <w:div w:id="999308562">
      <w:bodyDiv w:val="1"/>
      <w:marLeft w:val="0"/>
      <w:marRight w:val="0"/>
      <w:marTop w:val="0"/>
      <w:marBottom w:val="0"/>
      <w:divBdr>
        <w:top w:val="none" w:sz="0" w:space="0" w:color="auto"/>
        <w:left w:val="none" w:sz="0" w:space="0" w:color="auto"/>
        <w:bottom w:val="none" w:sz="0" w:space="0" w:color="auto"/>
        <w:right w:val="none" w:sz="0" w:space="0" w:color="auto"/>
      </w:divBdr>
    </w:div>
    <w:div w:id="1095400354">
      <w:bodyDiv w:val="1"/>
      <w:marLeft w:val="0"/>
      <w:marRight w:val="0"/>
      <w:marTop w:val="0"/>
      <w:marBottom w:val="0"/>
      <w:divBdr>
        <w:top w:val="none" w:sz="0" w:space="0" w:color="auto"/>
        <w:left w:val="none" w:sz="0" w:space="0" w:color="auto"/>
        <w:bottom w:val="none" w:sz="0" w:space="0" w:color="auto"/>
        <w:right w:val="none" w:sz="0" w:space="0" w:color="auto"/>
      </w:divBdr>
    </w:div>
    <w:div w:id="1437405991">
      <w:bodyDiv w:val="1"/>
      <w:marLeft w:val="0"/>
      <w:marRight w:val="0"/>
      <w:marTop w:val="0"/>
      <w:marBottom w:val="0"/>
      <w:divBdr>
        <w:top w:val="none" w:sz="0" w:space="0" w:color="auto"/>
        <w:left w:val="none" w:sz="0" w:space="0" w:color="auto"/>
        <w:bottom w:val="none" w:sz="0" w:space="0" w:color="auto"/>
        <w:right w:val="none" w:sz="0" w:space="0" w:color="auto"/>
      </w:divBdr>
    </w:div>
    <w:div w:id="1521384952">
      <w:bodyDiv w:val="1"/>
      <w:marLeft w:val="0"/>
      <w:marRight w:val="0"/>
      <w:marTop w:val="0"/>
      <w:marBottom w:val="0"/>
      <w:divBdr>
        <w:top w:val="none" w:sz="0" w:space="0" w:color="auto"/>
        <w:left w:val="none" w:sz="0" w:space="0" w:color="auto"/>
        <w:bottom w:val="none" w:sz="0" w:space="0" w:color="auto"/>
        <w:right w:val="none" w:sz="0" w:space="0" w:color="auto"/>
      </w:divBdr>
    </w:div>
    <w:div w:id="1695809950">
      <w:bodyDiv w:val="1"/>
      <w:marLeft w:val="0"/>
      <w:marRight w:val="0"/>
      <w:marTop w:val="0"/>
      <w:marBottom w:val="0"/>
      <w:divBdr>
        <w:top w:val="none" w:sz="0" w:space="0" w:color="auto"/>
        <w:left w:val="none" w:sz="0" w:space="0" w:color="auto"/>
        <w:bottom w:val="none" w:sz="0" w:space="0" w:color="auto"/>
        <w:right w:val="none" w:sz="0" w:space="0" w:color="auto"/>
      </w:divBdr>
    </w:div>
    <w:div w:id="1795097624">
      <w:bodyDiv w:val="1"/>
      <w:marLeft w:val="0"/>
      <w:marRight w:val="0"/>
      <w:marTop w:val="0"/>
      <w:marBottom w:val="0"/>
      <w:divBdr>
        <w:top w:val="none" w:sz="0" w:space="0" w:color="auto"/>
        <w:left w:val="none" w:sz="0" w:space="0" w:color="auto"/>
        <w:bottom w:val="none" w:sz="0" w:space="0" w:color="auto"/>
        <w:right w:val="none" w:sz="0" w:space="0" w:color="auto"/>
      </w:divBdr>
    </w:div>
    <w:div w:id="193679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B.Ledger@colar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lArt_DocumentCategory xmlns="http://schemas.microsoft.com/sharepoint/v3">Finance</ColArt_Documen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D2F57E19863F41B6F15DCE99E6EFAE" ma:contentTypeVersion="5" ma:contentTypeDescription="Create a new document." ma:contentTypeScope="" ma:versionID="992ec7d45a9232398b05720b17de603d">
  <xsd:schema xmlns:xsd="http://www.w3.org/2001/XMLSchema" xmlns:xs="http://www.w3.org/2001/XMLSchema" xmlns:p="http://schemas.microsoft.com/office/2006/metadata/properties" xmlns:ns1="http://schemas.microsoft.com/sharepoint/v3" xmlns:ns2="61780b56-53a0-48b7-94b7-99dcf39097de" xmlns:ns3="393d91d8-80ae-4929-a4bf-431b61af0dba" targetNamespace="http://schemas.microsoft.com/office/2006/metadata/properties" ma:root="true" ma:fieldsID="304155f4104bc012981d4dab99fecc66" ns1:_="" ns2:_="" ns3:_="">
    <xsd:import namespace="http://schemas.microsoft.com/sharepoint/v3"/>
    <xsd:import namespace="61780b56-53a0-48b7-94b7-99dcf39097de"/>
    <xsd:import namespace="393d91d8-80ae-4929-a4bf-431b61af0dba"/>
    <xsd:element name="properties">
      <xsd:complexType>
        <xsd:sequence>
          <xsd:element name="documentManagement">
            <xsd:complexType>
              <xsd:all>
                <xsd:element ref="ns1:ColArt_DocumentCategory"/>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lArt_DocumentCategory" ma:index="8" ma:displayName="Category" ma:description="" ma:format="Dropdown" ma:internalName="ColArt_DocumentCategory">
      <xsd:simpleType>
        <xsd:restriction base="dms:Choice">
          <xsd:enumeration value="Commercial"/>
          <xsd:enumeration value="Finance"/>
          <xsd:enumeration value="Governance"/>
          <xsd:enumeration value="IT"/>
          <xsd:enumeration value="OFO"/>
          <xsd:enumeration value="Operations"/>
          <xsd:enumeration value="People"/>
          <xsd:enumeration value="Regulatory"/>
          <xsd:enumeration value="SIOP"/>
        </xsd:restriction>
      </xsd:simpleType>
    </xsd:element>
  </xsd:schema>
  <xsd:schema xmlns:xsd="http://www.w3.org/2001/XMLSchema" xmlns:xs="http://www.w3.org/2001/XMLSchema" xmlns:dms="http://schemas.microsoft.com/office/2006/documentManagement/types" xmlns:pc="http://schemas.microsoft.com/office/infopath/2007/PartnerControls" targetNamespace="61780b56-53a0-48b7-94b7-99dcf39097d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3d91d8-80ae-4929-a4bf-431b61af0db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906E6-261D-418F-B01B-A6ECF7720D2C}"/>
</file>

<file path=customXml/itemProps2.xml><?xml version="1.0" encoding="utf-8"?>
<ds:datastoreItem xmlns:ds="http://schemas.openxmlformats.org/officeDocument/2006/customXml" ds:itemID="{625ED012-C79C-4C78-B839-EF6F757EAF1D}"/>
</file>

<file path=customXml/itemProps3.xml><?xml version="1.0" encoding="utf-8"?>
<ds:datastoreItem xmlns:ds="http://schemas.openxmlformats.org/officeDocument/2006/customXml" ds:itemID="{15074DE1-25ED-47DD-803A-277816800C92}"/>
</file>

<file path=customXml/itemProps4.xml><?xml version="1.0" encoding="utf-8"?>
<ds:datastoreItem xmlns:ds="http://schemas.openxmlformats.org/officeDocument/2006/customXml" ds:itemID="{F26B05A0-2ED3-49AF-89F9-28F65777C1CE}"/>
</file>

<file path=docProps/app.xml><?xml version="1.0" encoding="utf-8"?>
<Properties xmlns="http://schemas.openxmlformats.org/officeDocument/2006/extended-properties" xmlns:vt="http://schemas.openxmlformats.org/officeDocument/2006/docPropsVTypes">
  <Template>Normal</Template>
  <TotalTime>1</TotalTime>
  <Pages>6</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ColArt</Company>
  <LinksUpToDate>false</LinksUpToDate>
  <CharactersWithSpaces>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Clark</dc:creator>
  <cp:lastModifiedBy>Jing Huang</cp:lastModifiedBy>
  <cp:revision>5</cp:revision>
  <cp:lastPrinted>2014-04-28T08:16:00Z</cp:lastPrinted>
  <dcterms:created xsi:type="dcterms:W3CDTF">2014-05-30T10:23:00Z</dcterms:created>
  <dcterms:modified xsi:type="dcterms:W3CDTF">2015-03-10T14:32:00Z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0x010100D7D2F57E19863F41B6F15DCE99E6EFAE</vt:lpwstr>
  </property>
  <property fmtid="{D5CDD505-2E9C-101B-9397-08002B2CF9AE}" pid="3" name="Order">
    <vt:r8>3400</vt:r8>
  </property>
</Properties>
</file>