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1D169" w14:textId="77777777" w:rsidR="00622AD9" w:rsidRPr="00562548" w:rsidRDefault="0062729E" w:rsidP="00EF3DD9">
      <w:pPr>
        <w:pStyle w:val="Heading1"/>
      </w:pPr>
      <w:bookmarkStart w:id="0" w:name="_Toc387826709"/>
      <w:r>
        <w:t>Finance</w:t>
      </w:r>
      <w:bookmarkEnd w:id="0"/>
    </w:p>
    <w:p w14:paraId="54A1D16A"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54A1D16D" w14:textId="77777777" w:rsidTr="00EF3DD9">
        <w:tc>
          <w:tcPr>
            <w:tcW w:w="2518" w:type="dxa"/>
            <w:vAlign w:val="center"/>
          </w:tcPr>
          <w:p w14:paraId="54A1D16B" w14:textId="77777777" w:rsidR="00562548" w:rsidRPr="00EF3DD9" w:rsidRDefault="00562548" w:rsidP="00EF3DD9">
            <w:pPr>
              <w:pStyle w:val="Tableheadings"/>
            </w:pPr>
            <w:r w:rsidRPr="00EF3DD9">
              <w:t>Document title:</w:t>
            </w:r>
          </w:p>
        </w:tc>
        <w:tc>
          <w:tcPr>
            <w:tcW w:w="6724" w:type="dxa"/>
            <w:vAlign w:val="center"/>
          </w:tcPr>
          <w:p w14:paraId="54A1D16C" w14:textId="66C0C9E8" w:rsidR="00562548" w:rsidRPr="00562548" w:rsidRDefault="00E93DBC" w:rsidP="00EF3DD9">
            <w:r>
              <w:t xml:space="preserve">Finance 002 </w:t>
            </w:r>
            <w:r w:rsidR="0062729E">
              <w:t>Accounts Receivable and Credit Administration Policy</w:t>
            </w:r>
          </w:p>
        </w:tc>
      </w:tr>
      <w:tr w:rsidR="00562548" w:rsidRPr="00562548" w14:paraId="54A1D170" w14:textId="77777777" w:rsidTr="00EF3DD9">
        <w:tc>
          <w:tcPr>
            <w:tcW w:w="2518" w:type="dxa"/>
            <w:vAlign w:val="center"/>
          </w:tcPr>
          <w:p w14:paraId="54A1D16E" w14:textId="77777777" w:rsidR="00562548" w:rsidRPr="00EF3DD9" w:rsidRDefault="00562548" w:rsidP="00EF3DD9">
            <w:pPr>
              <w:pStyle w:val="Tableheadings"/>
            </w:pPr>
            <w:r w:rsidRPr="00EF3DD9">
              <w:t>Document Filename:</w:t>
            </w:r>
          </w:p>
        </w:tc>
        <w:tc>
          <w:tcPr>
            <w:tcW w:w="6724" w:type="dxa"/>
            <w:vAlign w:val="center"/>
          </w:tcPr>
          <w:p w14:paraId="54A1D16F" w14:textId="5F4A65E8" w:rsidR="00562548" w:rsidRPr="00562548" w:rsidRDefault="00E93DBC" w:rsidP="00631D01">
            <w:r>
              <w:t>Finance 002 Accounts Receivable and Credit Administration Policy</w:t>
            </w:r>
            <w:r>
              <w:t xml:space="preserve"> </w:t>
            </w:r>
            <w:bookmarkStart w:id="1" w:name="_GoBack"/>
            <w:bookmarkEnd w:id="1"/>
            <w:r w:rsidR="000A7C7E">
              <w:fldChar w:fldCharType="begin"/>
            </w:r>
            <w:r w:rsidR="000A7C7E">
              <w:instrText xml:space="preserve"> FILENAME  \* Upper  \* MERGEFORMAT </w:instrText>
            </w:r>
            <w:r w:rsidR="000A7C7E">
              <w:fldChar w:fldCharType="end"/>
            </w:r>
          </w:p>
        </w:tc>
      </w:tr>
      <w:tr w:rsidR="00562548" w:rsidRPr="00562548" w14:paraId="54A1D173" w14:textId="77777777" w:rsidTr="00EF3DD9">
        <w:tc>
          <w:tcPr>
            <w:tcW w:w="2518" w:type="dxa"/>
            <w:vAlign w:val="center"/>
          </w:tcPr>
          <w:p w14:paraId="54A1D171" w14:textId="77777777" w:rsidR="00562548" w:rsidRPr="00EF3DD9" w:rsidRDefault="00562548" w:rsidP="00EF3DD9">
            <w:pPr>
              <w:pStyle w:val="Tableheadings"/>
            </w:pPr>
            <w:r w:rsidRPr="00EF3DD9">
              <w:t>Document number:</w:t>
            </w:r>
          </w:p>
        </w:tc>
        <w:tc>
          <w:tcPr>
            <w:tcW w:w="6724" w:type="dxa"/>
            <w:vAlign w:val="center"/>
          </w:tcPr>
          <w:p w14:paraId="54A1D172" w14:textId="77777777" w:rsidR="00562548" w:rsidRPr="00562548" w:rsidRDefault="00562548" w:rsidP="00EF3DD9"/>
        </w:tc>
      </w:tr>
      <w:tr w:rsidR="00562548" w:rsidRPr="00562548" w14:paraId="54A1D176" w14:textId="77777777" w:rsidTr="00EF3DD9">
        <w:tc>
          <w:tcPr>
            <w:tcW w:w="2518" w:type="dxa"/>
            <w:vAlign w:val="center"/>
          </w:tcPr>
          <w:p w14:paraId="54A1D174" w14:textId="77777777" w:rsidR="00562548" w:rsidRPr="00EF3DD9" w:rsidRDefault="00562548" w:rsidP="00EF3DD9">
            <w:pPr>
              <w:pStyle w:val="Tableheadings"/>
            </w:pPr>
            <w:r w:rsidRPr="00EF3DD9">
              <w:t>Author:</w:t>
            </w:r>
          </w:p>
        </w:tc>
        <w:tc>
          <w:tcPr>
            <w:tcW w:w="6724" w:type="dxa"/>
            <w:vAlign w:val="center"/>
          </w:tcPr>
          <w:p w14:paraId="54A1D175" w14:textId="77777777" w:rsidR="00562548" w:rsidRPr="00562548" w:rsidRDefault="00562548" w:rsidP="00EF3DD9"/>
        </w:tc>
      </w:tr>
      <w:tr w:rsidR="00562548" w:rsidRPr="00562548" w14:paraId="54A1D179" w14:textId="77777777" w:rsidTr="00EF3DD9">
        <w:tc>
          <w:tcPr>
            <w:tcW w:w="2518" w:type="dxa"/>
            <w:vAlign w:val="center"/>
          </w:tcPr>
          <w:p w14:paraId="54A1D177" w14:textId="77777777" w:rsidR="00562548" w:rsidRPr="00EF3DD9" w:rsidRDefault="00562548" w:rsidP="00EF3DD9">
            <w:pPr>
              <w:pStyle w:val="Tableheadings"/>
            </w:pPr>
            <w:r w:rsidRPr="00EF3DD9">
              <w:t>Version:</w:t>
            </w:r>
          </w:p>
        </w:tc>
        <w:tc>
          <w:tcPr>
            <w:tcW w:w="6724" w:type="dxa"/>
            <w:vAlign w:val="center"/>
          </w:tcPr>
          <w:p w14:paraId="54A1D178" w14:textId="77777777" w:rsidR="00562548" w:rsidRPr="00562548" w:rsidRDefault="00562548" w:rsidP="00EF3DD9">
            <w:r w:rsidRPr="00562548">
              <w:t>1.</w:t>
            </w:r>
            <w:r w:rsidR="00631D01">
              <w:t>1</w:t>
            </w:r>
          </w:p>
        </w:tc>
      </w:tr>
      <w:tr w:rsidR="00562548" w:rsidRPr="00562548" w14:paraId="54A1D17C" w14:textId="77777777" w:rsidTr="00EF3DD9">
        <w:tc>
          <w:tcPr>
            <w:tcW w:w="2518" w:type="dxa"/>
            <w:vAlign w:val="center"/>
          </w:tcPr>
          <w:p w14:paraId="54A1D17A" w14:textId="77777777" w:rsidR="00562548" w:rsidRPr="00EF3DD9" w:rsidRDefault="00562548" w:rsidP="00EF3DD9">
            <w:pPr>
              <w:pStyle w:val="Tableheadings"/>
            </w:pPr>
            <w:r w:rsidRPr="00EF3DD9">
              <w:t>Saved:</w:t>
            </w:r>
          </w:p>
        </w:tc>
        <w:tc>
          <w:tcPr>
            <w:tcW w:w="6724" w:type="dxa"/>
            <w:vAlign w:val="center"/>
          </w:tcPr>
          <w:p w14:paraId="54A1D17B" w14:textId="77777777" w:rsidR="00562548" w:rsidRPr="00562548" w:rsidRDefault="00562548" w:rsidP="0062729E"/>
        </w:tc>
      </w:tr>
    </w:tbl>
    <w:p w14:paraId="54A1D17D" w14:textId="77777777" w:rsidR="00562548" w:rsidRDefault="00562548" w:rsidP="00EF3DD9"/>
    <w:p w14:paraId="54A1D17E"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54A1D180" w14:textId="77777777" w:rsidTr="00EF3DD9">
        <w:tc>
          <w:tcPr>
            <w:tcW w:w="9242" w:type="dxa"/>
            <w:gridSpan w:val="2"/>
          </w:tcPr>
          <w:p w14:paraId="54A1D17F"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54A1D183" w14:textId="77777777" w:rsidTr="00EF3DD9">
        <w:tc>
          <w:tcPr>
            <w:tcW w:w="2235" w:type="dxa"/>
          </w:tcPr>
          <w:p w14:paraId="54A1D181" w14:textId="77777777" w:rsidR="00562548" w:rsidRPr="00562548" w:rsidRDefault="00562548" w:rsidP="00EF3DD9">
            <w:pPr>
              <w:pStyle w:val="Tableheadings"/>
            </w:pPr>
            <w:r w:rsidRPr="00562548">
              <w:t>Area</w:t>
            </w:r>
          </w:p>
        </w:tc>
        <w:tc>
          <w:tcPr>
            <w:tcW w:w="7007" w:type="dxa"/>
          </w:tcPr>
          <w:p w14:paraId="54A1D182" w14:textId="77777777" w:rsidR="00562548" w:rsidRPr="00562548" w:rsidRDefault="00562548" w:rsidP="00EF3DD9">
            <w:pPr>
              <w:pStyle w:val="Tableheadings"/>
            </w:pPr>
            <w:r w:rsidRPr="00562548">
              <w:t>Full Name</w:t>
            </w:r>
          </w:p>
        </w:tc>
      </w:tr>
      <w:tr w:rsidR="00562548" w14:paraId="54A1D186" w14:textId="77777777" w:rsidTr="00EF3DD9">
        <w:tc>
          <w:tcPr>
            <w:tcW w:w="2235" w:type="dxa"/>
          </w:tcPr>
          <w:p w14:paraId="54A1D184" w14:textId="77777777" w:rsidR="00562548" w:rsidRDefault="0062729E" w:rsidP="00EF3DD9">
            <w:r>
              <w:t>Sales</w:t>
            </w:r>
          </w:p>
        </w:tc>
        <w:tc>
          <w:tcPr>
            <w:tcW w:w="7007" w:type="dxa"/>
          </w:tcPr>
          <w:p w14:paraId="54A1D185" w14:textId="77777777" w:rsidR="00562548" w:rsidRDefault="0062729E" w:rsidP="00EF3DD9">
            <w:r>
              <w:t>All sales personnel</w:t>
            </w:r>
          </w:p>
        </w:tc>
      </w:tr>
      <w:tr w:rsidR="00562548" w14:paraId="54A1D189" w14:textId="77777777" w:rsidTr="00EF3DD9">
        <w:tc>
          <w:tcPr>
            <w:tcW w:w="2235" w:type="dxa"/>
          </w:tcPr>
          <w:p w14:paraId="54A1D187" w14:textId="77777777" w:rsidR="00562548" w:rsidRDefault="0062729E" w:rsidP="00EF3DD9">
            <w:r>
              <w:t>Customer Service</w:t>
            </w:r>
          </w:p>
        </w:tc>
        <w:tc>
          <w:tcPr>
            <w:tcW w:w="7007" w:type="dxa"/>
          </w:tcPr>
          <w:p w14:paraId="54A1D188" w14:textId="77777777" w:rsidR="00562548" w:rsidRDefault="0062729E" w:rsidP="00EF3DD9">
            <w:r>
              <w:t>All customer service personnel</w:t>
            </w:r>
          </w:p>
        </w:tc>
      </w:tr>
      <w:tr w:rsidR="00562548" w14:paraId="54A1D18C" w14:textId="77777777" w:rsidTr="00EF3DD9">
        <w:tc>
          <w:tcPr>
            <w:tcW w:w="2235" w:type="dxa"/>
          </w:tcPr>
          <w:p w14:paraId="54A1D18A" w14:textId="77777777" w:rsidR="00562548" w:rsidRDefault="0062729E" w:rsidP="00EF3DD9">
            <w:r>
              <w:t>Finance</w:t>
            </w:r>
          </w:p>
        </w:tc>
        <w:tc>
          <w:tcPr>
            <w:tcW w:w="7007" w:type="dxa"/>
          </w:tcPr>
          <w:p w14:paraId="54A1D18B" w14:textId="77777777" w:rsidR="00562548" w:rsidRDefault="0062729E" w:rsidP="00EF3DD9">
            <w:r>
              <w:t>All finance personnel</w:t>
            </w:r>
          </w:p>
        </w:tc>
      </w:tr>
      <w:tr w:rsidR="00AC7637" w14:paraId="54A1D18F" w14:textId="77777777" w:rsidTr="00EF3DD9">
        <w:tc>
          <w:tcPr>
            <w:tcW w:w="2235" w:type="dxa"/>
          </w:tcPr>
          <w:p w14:paraId="54A1D18D" w14:textId="77777777" w:rsidR="00AC7637" w:rsidRDefault="00AC7637" w:rsidP="00EF3DD9">
            <w:r>
              <w:t>General Management</w:t>
            </w:r>
          </w:p>
        </w:tc>
        <w:tc>
          <w:tcPr>
            <w:tcW w:w="7007" w:type="dxa"/>
          </w:tcPr>
          <w:p w14:paraId="54A1D18E" w14:textId="77777777" w:rsidR="00AC7637" w:rsidRDefault="00AC7637" w:rsidP="00EF3DD9">
            <w:r>
              <w:t>All (commercial) general managers</w:t>
            </w:r>
          </w:p>
        </w:tc>
      </w:tr>
    </w:tbl>
    <w:p w14:paraId="54A1D190" w14:textId="77777777" w:rsidR="00EF3DD9" w:rsidRDefault="00EF3DD9" w:rsidP="00EF3DD9">
      <w:pPr>
        <w:rPr>
          <w:rFonts w:cs="Arial"/>
          <w:bCs/>
        </w:rPr>
      </w:pPr>
    </w:p>
    <w:p w14:paraId="54A1D191"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54A1D193" w14:textId="77777777" w:rsidTr="00EF3DD9">
        <w:tc>
          <w:tcPr>
            <w:tcW w:w="9322" w:type="dxa"/>
            <w:gridSpan w:val="5"/>
            <w:shd w:val="clear" w:color="auto" w:fill="auto"/>
          </w:tcPr>
          <w:p w14:paraId="54A1D192" w14:textId="77777777" w:rsidR="00EF3DD9" w:rsidRPr="00EF3DD9" w:rsidRDefault="00EF3DD9" w:rsidP="00EF3DD9">
            <w:pPr>
              <w:pStyle w:val="Tableheadings"/>
            </w:pPr>
            <w:r w:rsidRPr="00E77373">
              <w:t>Review and Approval Table</w:t>
            </w:r>
          </w:p>
        </w:tc>
      </w:tr>
      <w:tr w:rsidR="00EF3DD9" w:rsidRPr="00EF3DD9" w14:paraId="54A1D199" w14:textId="77777777" w:rsidTr="00EF3DD9">
        <w:tc>
          <w:tcPr>
            <w:tcW w:w="1526" w:type="dxa"/>
            <w:shd w:val="clear" w:color="auto" w:fill="auto"/>
          </w:tcPr>
          <w:p w14:paraId="54A1D194" w14:textId="77777777" w:rsidR="00EF3DD9" w:rsidRPr="00EF3DD9" w:rsidRDefault="00EF3DD9" w:rsidP="00EF3DD9">
            <w:pPr>
              <w:pStyle w:val="Tableheadings"/>
            </w:pPr>
            <w:r w:rsidRPr="00EF3DD9">
              <w:t>Approval Stage</w:t>
            </w:r>
          </w:p>
        </w:tc>
        <w:tc>
          <w:tcPr>
            <w:tcW w:w="2693" w:type="dxa"/>
            <w:shd w:val="clear" w:color="auto" w:fill="auto"/>
          </w:tcPr>
          <w:p w14:paraId="54A1D195" w14:textId="77777777" w:rsidR="00EF3DD9" w:rsidRPr="00EF3DD9" w:rsidRDefault="00EF3DD9" w:rsidP="00EF3DD9">
            <w:pPr>
              <w:pStyle w:val="Tableheadings"/>
            </w:pPr>
            <w:r w:rsidRPr="00EF3DD9">
              <w:t>Name</w:t>
            </w:r>
          </w:p>
        </w:tc>
        <w:tc>
          <w:tcPr>
            <w:tcW w:w="1701" w:type="dxa"/>
            <w:shd w:val="clear" w:color="auto" w:fill="auto"/>
          </w:tcPr>
          <w:p w14:paraId="54A1D196" w14:textId="77777777" w:rsidR="00EF3DD9" w:rsidRPr="00EF3DD9" w:rsidRDefault="00EF3DD9" w:rsidP="00EF3DD9">
            <w:pPr>
              <w:pStyle w:val="Tableheadings"/>
            </w:pPr>
            <w:r w:rsidRPr="00EF3DD9">
              <w:t>Dated</w:t>
            </w:r>
          </w:p>
        </w:tc>
        <w:tc>
          <w:tcPr>
            <w:tcW w:w="1701" w:type="dxa"/>
            <w:shd w:val="clear" w:color="auto" w:fill="auto"/>
          </w:tcPr>
          <w:p w14:paraId="54A1D197" w14:textId="77777777" w:rsidR="00EF3DD9" w:rsidRPr="00EF3DD9" w:rsidRDefault="00EF3DD9" w:rsidP="00EF3DD9">
            <w:pPr>
              <w:pStyle w:val="Tableheadings"/>
            </w:pPr>
            <w:r w:rsidRPr="00EF3DD9">
              <w:t>Approval</w:t>
            </w:r>
          </w:p>
        </w:tc>
        <w:tc>
          <w:tcPr>
            <w:tcW w:w="1701" w:type="dxa"/>
            <w:shd w:val="clear" w:color="auto" w:fill="auto"/>
          </w:tcPr>
          <w:p w14:paraId="54A1D198" w14:textId="77777777" w:rsidR="00EF3DD9" w:rsidRPr="00EF3DD9" w:rsidRDefault="00EF3DD9" w:rsidP="00EF3DD9">
            <w:pPr>
              <w:pStyle w:val="Tableheadings"/>
            </w:pPr>
            <w:r>
              <w:t xml:space="preserve">Need by </w:t>
            </w:r>
            <w:r w:rsidRPr="00EF3DD9">
              <w:t>Date</w:t>
            </w:r>
          </w:p>
        </w:tc>
      </w:tr>
      <w:tr w:rsidR="00EF3DD9" w:rsidRPr="00EF3DD9" w14:paraId="54A1D19F" w14:textId="77777777" w:rsidTr="00EF3DD9">
        <w:tc>
          <w:tcPr>
            <w:tcW w:w="1526" w:type="dxa"/>
            <w:shd w:val="clear" w:color="auto" w:fill="auto"/>
          </w:tcPr>
          <w:p w14:paraId="54A1D19A" w14:textId="77777777" w:rsidR="00EF3DD9" w:rsidRPr="00EF3DD9" w:rsidRDefault="00EF3DD9" w:rsidP="00EF3DD9"/>
        </w:tc>
        <w:tc>
          <w:tcPr>
            <w:tcW w:w="2693" w:type="dxa"/>
            <w:shd w:val="clear" w:color="auto" w:fill="auto"/>
          </w:tcPr>
          <w:p w14:paraId="54A1D19B" w14:textId="77777777" w:rsidR="00EF3DD9" w:rsidRPr="00EF3DD9" w:rsidRDefault="00EF3DD9" w:rsidP="00EF3DD9"/>
        </w:tc>
        <w:tc>
          <w:tcPr>
            <w:tcW w:w="1701" w:type="dxa"/>
            <w:shd w:val="clear" w:color="auto" w:fill="auto"/>
          </w:tcPr>
          <w:p w14:paraId="54A1D19C" w14:textId="77777777" w:rsidR="00EF3DD9" w:rsidRPr="00EF3DD9" w:rsidRDefault="00EF3DD9" w:rsidP="00EF3DD9"/>
        </w:tc>
        <w:tc>
          <w:tcPr>
            <w:tcW w:w="1701" w:type="dxa"/>
            <w:shd w:val="clear" w:color="auto" w:fill="auto"/>
          </w:tcPr>
          <w:p w14:paraId="54A1D19D" w14:textId="77777777" w:rsidR="00EF3DD9" w:rsidRPr="00EF3DD9" w:rsidRDefault="00EF3DD9" w:rsidP="00EF3DD9"/>
        </w:tc>
        <w:tc>
          <w:tcPr>
            <w:tcW w:w="1701" w:type="dxa"/>
            <w:shd w:val="clear" w:color="auto" w:fill="auto"/>
          </w:tcPr>
          <w:p w14:paraId="54A1D19E" w14:textId="77777777" w:rsidR="00EF3DD9" w:rsidRPr="00EF3DD9" w:rsidRDefault="00EF3DD9" w:rsidP="00EF3DD9"/>
        </w:tc>
      </w:tr>
      <w:tr w:rsidR="00EF3DD9" w:rsidRPr="00EF3DD9" w14:paraId="54A1D1A5" w14:textId="77777777" w:rsidTr="00EF3DD9">
        <w:tc>
          <w:tcPr>
            <w:tcW w:w="1526" w:type="dxa"/>
            <w:shd w:val="clear" w:color="auto" w:fill="auto"/>
          </w:tcPr>
          <w:p w14:paraId="54A1D1A0" w14:textId="77777777" w:rsidR="00EF3DD9" w:rsidRPr="00EF3DD9" w:rsidRDefault="00EF3DD9" w:rsidP="00EF3DD9"/>
        </w:tc>
        <w:tc>
          <w:tcPr>
            <w:tcW w:w="2693" w:type="dxa"/>
            <w:shd w:val="clear" w:color="auto" w:fill="auto"/>
          </w:tcPr>
          <w:p w14:paraId="54A1D1A1" w14:textId="77777777" w:rsidR="00EF3DD9" w:rsidRPr="00EF3DD9" w:rsidRDefault="00EF3DD9" w:rsidP="00EF3DD9"/>
        </w:tc>
        <w:tc>
          <w:tcPr>
            <w:tcW w:w="1701" w:type="dxa"/>
            <w:shd w:val="clear" w:color="auto" w:fill="auto"/>
          </w:tcPr>
          <w:p w14:paraId="54A1D1A2" w14:textId="77777777" w:rsidR="00EF3DD9" w:rsidRPr="00EF3DD9" w:rsidRDefault="00EF3DD9" w:rsidP="00EF3DD9"/>
        </w:tc>
        <w:tc>
          <w:tcPr>
            <w:tcW w:w="1701" w:type="dxa"/>
            <w:shd w:val="clear" w:color="auto" w:fill="auto"/>
          </w:tcPr>
          <w:p w14:paraId="54A1D1A3" w14:textId="77777777" w:rsidR="00EF3DD9" w:rsidRPr="00EF3DD9" w:rsidRDefault="00EF3DD9" w:rsidP="00EF3DD9"/>
        </w:tc>
        <w:tc>
          <w:tcPr>
            <w:tcW w:w="1701" w:type="dxa"/>
            <w:shd w:val="clear" w:color="auto" w:fill="auto"/>
          </w:tcPr>
          <w:p w14:paraId="54A1D1A4" w14:textId="77777777" w:rsidR="00EF3DD9" w:rsidRPr="00EF3DD9" w:rsidRDefault="00EF3DD9" w:rsidP="00EF3DD9"/>
        </w:tc>
      </w:tr>
      <w:tr w:rsidR="00AC7637" w:rsidRPr="00EF3DD9" w14:paraId="54A1D1AB" w14:textId="77777777" w:rsidTr="00EF3DD9">
        <w:tc>
          <w:tcPr>
            <w:tcW w:w="1526" w:type="dxa"/>
            <w:shd w:val="clear" w:color="auto" w:fill="auto"/>
          </w:tcPr>
          <w:p w14:paraId="54A1D1A6" w14:textId="77777777" w:rsidR="00AC7637" w:rsidRPr="00EF3DD9" w:rsidRDefault="00AC7637" w:rsidP="00EF3DD9"/>
        </w:tc>
        <w:tc>
          <w:tcPr>
            <w:tcW w:w="2693" w:type="dxa"/>
            <w:shd w:val="clear" w:color="auto" w:fill="auto"/>
          </w:tcPr>
          <w:p w14:paraId="54A1D1A7" w14:textId="77777777" w:rsidR="00AC7637" w:rsidRPr="00EF3DD9" w:rsidRDefault="00AC7637" w:rsidP="00EF3DD9"/>
        </w:tc>
        <w:tc>
          <w:tcPr>
            <w:tcW w:w="1701" w:type="dxa"/>
            <w:shd w:val="clear" w:color="auto" w:fill="auto"/>
          </w:tcPr>
          <w:p w14:paraId="54A1D1A8" w14:textId="77777777" w:rsidR="00AC7637" w:rsidRPr="00EF3DD9" w:rsidRDefault="00AC7637" w:rsidP="00EF3DD9"/>
        </w:tc>
        <w:tc>
          <w:tcPr>
            <w:tcW w:w="1701" w:type="dxa"/>
            <w:shd w:val="clear" w:color="auto" w:fill="auto"/>
          </w:tcPr>
          <w:p w14:paraId="54A1D1A9" w14:textId="77777777" w:rsidR="00AC7637" w:rsidRPr="00EF3DD9" w:rsidRDefault="00AC7637" w:rsidP="00EF3DD9"/>
        </w:tc>
        <w:tc>
          <w:tcPr>
            <w:tcW w:w="1701" w:type="dxa"/>
            <w:shd w:val="clear" w:color="auto" w:fill="auto"/>
          </w:tcPr>
          <w:p w14:paraId="54A1D1AA" w14:textId="77777777" w:rsidR="00AC7637" w:rsidRPr="00EF3DD9" w:rsidRDefault="00AC7637" w:rsidP="00EF3DD9"/>
        </w:tc>
      </w:tr>
      <w:tr w:rsidR="00AC7637" w:rsidRPr="00EF3DD9" w14:paraId="54A1D1B1" w14:textId="77777777" w:rsidTr="00EF3DD9">
        <w:tc>
          <w:tcPr>
            <w:tcW w:w="1526" w:type="dxa"/>
            <w:shd w:val="clear" w:color="auto" w:fill="auto"/>
          </w:tcPr>
          <w:p w14:paraId="54A1D1AC" w14:textId="77777777" w:rsidR="00AC7637" w:rsidRPr="00EF3DD9" w:rsidRDefault="00AC7637" w:rsidP="00EF3DD9"/>
        </w:tc>
        <w:tc>
          <w:tcPr>
            <w:tcW w:w="2693" w:type="dxa"/>
            <w:shd w:val="clear" w:color="auto" w:fill="auto"/>
          </w:tcPr>
          <w:p w14:paraId="54A1D1AD" w14:textId="77777777" w:rsidR="00AC7637" w:rsidRPr="00EF3DD9" w:rsidRDefault="00AC7637" w:rsidP="00EF3DD9"/>
        </w:tc>
        <w:tc>
          <w:tcPr>
            <w:tcW w:w="1701" w:type="dxa"/>
            <w:shd w:val="clear" w:color="auto" w:fill="auto"/>
          </w:tcPr>
          <w:p w14:paraId="54A1D1AE" w14:textId="77777777" w:rsidR="00AC7637" w:rsidRPr="00EF3DD9" w:rsidRDefault="00AC7637" w:rsidP="00EF3DD9"/>
        </w:tc>
        <w:tc>
          <w:tcPr>
            <w:tcW w:w="1701" w:type="dxa"/>
            <w:shd w:val="clear" w:color="auto" w:fill="auto"/>
          </w:tcPr>
          <w:p w14:paraId="54A1D1AF" w14:textId="77777777" w:rsidR="00AC7637" w:rsidRPr="00EF3DD9" w:rsidRDefault="00AC7637" w:rsidP="00EF3DD9"/>
        </w:tc>
        <w:tc>
          <w:tcPr>
            <w:tcW w:w="1701" w:type="dxa"/>
            <w:shd w:val="clear" w:color="auto" w:fill="auto"/>
          </w:tcPr>
          <w:p w14:paraId="54A1D1B0" w14:textId="77777777" w:rsidR="00AC7637" w:rsidRPr="00EF3DD9" w:rsidRDefault="00AC7637" w:rsidP="00EF3DD9"/>
        </w:tc>
      </w:tr>
      <w:tr w:rsidR="00AC7637" w:rsidRPr="00EF3DD9" w14:paraId="54A1D1B7" w14:textId="77777777" w:rsidTr="00EF3DD9">
        <w:tc>
          <w:tcPr>
            <w:tcW w:w="1526" w:type="dxa"/>
            <w:shd w:val="clear" w:color="auto" w:fill="auto"/>
          </w:tcPr>
          <w:p w14:paraId="54A1D1B2" w14:textId="77777777" w:rsidR="00AC7637" w:rsidRPr="00EF3DD9" w:rsidRDefault="00AC7637" w:rsidP="00EF3DD9"/>
        </w:tc>
        <w:tc>
          <w:tcPr>
            <w:tcW w:w="2693" w:type="dxa"/>
            <w:shd w:val="clear" w:color="auto" w:fill="auto"/>
          </w:tcPr>
          <w:p w14:paraId="54A1D1B3" w14:textId="77777777" w:rsidR="00AC7637" w:rsidRPr="00EF3DD9" w:rsidRDefault="00AC7637" w:rsidP="00EF3DD9"/>
        </w:tc>
        <w:tc>
          <w:tcPr>
            <w:tcW w:w="1701" w:type="dxa"/>
            <w:shd w:val="clear" w:color="auto" w:fill="auto"/>
          </w:tcPr>
          <w:p w14:paraId="54A1D1B4" w14:textId="77777777" w:rsidR="00AC7637" w:rsidRPr="00EF3DD9" w:rsidRDefault="00AC7637" w:rsidP="00EF3DD9"/>
        </w:tc>
        <w:tc>
          <w:tcPr>
            <w:tcW w:w="1701" w:type="dxa"/>
            <w:shd w:val="clear" w:color="auto" w:fill="auto"/>
          </w:tcPr>
          <w:p w14:paraId="54A1D1B5" w14:textId="77777777" w:rsidR="00AC7637" w:rsidRPr="00EF3DD9" w:rsidRDefault="00AC7637" w:rsidP="00EF3DD9"/>
        </w:tc>
        <w:tc>
          <w:tcPr>
            <w:tcW w:w="1701" w:type="dxa"/>
            <w:shd w:val="clear" w:color="auto" w:fill="auto"/>
          </w:tcPr>
          <w:p w14:paraId="54A1D1B6" w14:textId="77777777" w:rsidR="00AC7637" w:rsidRPr="00EF3DD9" w:rsidRDefault="00AC7637" w:rsidP="00EF3DD9"/>
        </w:tc>
      </w:tr>
    </w:tbl>
    <w:p w14:paraId="54A1D1B8" w14:textId="77777777" w:rsidR="00AC7637" w:rsidRDefault="00AC7637" w:rsidP="00EF3DD9">
      <w:pPr>
        <w:pStyle w:val="InstructionNote"/>
      </w:pPr>
    </w:p>
    <w:p w14:paraId="54A1D1B9"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54A1D1BA" w14:textId="77777777"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54A1D1BB" w14:textId="77777777"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54A1D1BC" w14:textId="77777777"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54A1D1BD" w14:textId="77777777" w:rsidR="00EF3DD9" w:rsidRPr="00EF3DD9" w:rsidRDefault="00EF3DD9" w:rsidP="00EF3DD9">
      <w:pPr>
        <w:pStyle w:val="InstructionNote"/>
      </w:pPr>
    </w:p>
    <w:p w14:paraId="54A1D1BE"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54A1D1BF" w14:textId="77777777" w:rsidR="00AC7637" w:rsidRDefault="00AC7637">
      <w:pPr>
        <w:spacing w:after="200" w:line="276" w:lineRule="auto"/>
        <w:rPr>
          <w:i/>
          <w:sz w:val="16"/>
        </w:rPr>
      </w:pPr>
      <w:r>
        <w:br w:type="page"/>
      </w:r>
    </w:p>
    <w:p w14:paraId="54A1D1C0" w14:textId="77777777" w:rsidR="00EF3DD9" w:rsidRDefault="00EF3DD9" w:rsidP="00EF3DD9">
      <w:pPr>
        <w:pStyle w:val="InstructionNote"/>
      </w:pPr>
    </w:p>
    <w:p w14:paraId="54A1D1C1"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54A1D1C3" w14:textId="77777777" w:rsidTr="00EF3DD9">
        <w:trPr>
          <w:cantSplit/>
          <w:tblHeader/>
        </w:trPr>
        <w:tc>
          <w:tcPr>
            <w:tcW w:w="9180" w:type="dxa"/>
            <w:gridSpan w:val="4"/>
            <w:shd w:val="clear" w:color="auto" w:fill="auto"/>
            <w:vAlign w:val="center"/>
          </w:tcPr>
          <w:p w14:paraId="54A1D1C2" w14:textId="77777777" w:rsidR="00EF3DD9" w:rsidRPr="00EF3DD9" w:rsidRDefault="00EF3DD9" w:rsidP="00EF3DD9">
            <w:pPr>
              <w:pStyle w:val="Tableheadings"/>
            </w:pPr>
            <w:r>
              <w:t>Change History</w:t>
            </w:r>
          </w:p>
        </w:tc>
      </w:tr>
      <w:tr w:rsidR="00EF3DD9" w:rsidRPr="00E77373" w14:paraId="54A1D1C8" w14:textId="77777777" w:rsidTr="00EF3DD9">
        <w:trPr>
          <w:cantSplit/>
          <w:tblHeader/>
        </w:trPr>
        <w:tc>
          <w:tcPr>
            <w:tcW w:w="1242" w:type="dxa"/>
            <w:shd w:val="clear" w:color="auto" w:fill="auto"/>
            <w:vAlign w:val="center"/>
          </w:tcPr>
          <w:p w14:paraId="54A1D1C4" w14:textId="77777777" w:rsidR="00EF3DD9" w:rsidRPr="00E77373" w:rsidRDefault="00EF3DD9" w:rsidP="00EF3DD9">
            <w:pPr>
              <w:pStyle w:val="Tableheadings"/>
            </w:pPr>
            <w:r w:rsidRPr="00E77373">
              <w:t>Version number</w:t>
            </w:r>
          </w:p>
        </w:tc>
        <w:tc>
          <w:tcPr>
            <w:tcW w:w="2410" w:type="dxa"/>
            <w:shd w:val="clear" w:color="auto" w:fill="auto"/>
            <w:vAlign w:val="center"/>
          </w:tcPr>
          <w:p w14:paraId="54A1D1C5" w14:textId="77777777" w:rsidR="00EF3DD9" w:rsidRPr="00E77373" w:rsidRDefault="00EF3DD9" w:rsidP="00EF3DD9">
            <w:pPr>
              <w:pStyle w:val="Tableheadings"/>
            </w:pPr>
            <w:r w:rsidRPr="00E77373">
              <w:t>Author</w:t>
            </w:r>
          </w:p>
        </w:tc>
        <w:tc>
          <w:tcPr>
            <w:tcW w:w="1559" w:type="dxa"/>
            <w:shd w:val="clear" w:color="auto" w:fill="auto"/>
            <w:vAlign w:val="center"/>
          </w:tcPr>
          <w:p w14:paraId="54A1D1C6" w14:textId="77777777" w:rsidR="00EF3DD9" w:rsidRPr="00E77373" w:rsidRDefault="00EF3DD9" w:rsidP="00EF3DD9">
            <w:pPr>
              <w:pStyle w:val="Tableheadings"/>
            </w:pPr>
            <w:r w:rsidRPr="00E77373">
              <w:t>Date</w:t>
            </w:r>
          </w:p>
        </w:tc>
        <w:tc>
          <w:tcPr>
            <w:tcW w:w="3969" w:type="dxa"/>
            <w:shd w:val="clear" w:color="auto" w:fill="auto"/>
            <w:vAlign w:val="center"/>
          </w:tcPr>
          <w:p w14:paraId="54A1D1C7" w14:textId="77777777" w:rsidR="00EF3DD9" w:rsidRPr="00E77373" w:rsidRDefault="00EF3DD9" w:rsidP="00EF3DD9">
            <w:pPr>
              <w:pStyle w:val="Tableheadings"/>
            </w:pPr>
            <w:r w:rsidRPr="00E77373">
              <w:t>Summary of changes</w:t>
            </w:r>
          </w:p>
        </w:tc>
      </w:tr>
      <w:tr w:rsidR="00EF3DD9" w:rsidRPr="00E77373" w14:paraId="54A1D1CD" w14:textId="77777777" w:rsidTr="00EF3DD9">
        <w:tc>
          <w:tcPr>
            <w:tcW w:w="1242" w:type="dxa"/>
            <w:shd w:val="clear" w:color="auto" w:fill="auto"/>
            <w:vAlign w:val="center"/>
          </w:tcPr>
          <w:p w14:paraId="54A1D1C9"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54A1D1CA" w14:textId="77777777" w:rsidR="00EF3DD9" w:rsidRPr="00E77373" w:rsidRDefault="00EF3DD9" w:rsidP="00BB5DB7">
            <w:r>
              <w:t>Author Name</w:t>
            </w:r>
          </w:p>
        </w:tc>
        <w:tc>
          <w:tcPr>
            <w:tcW w:w="1559" w:type="dxa"/>
            <w:shd w:val="clear" w:color="auto" w:fill="auto"/>
            <w:vAlign w:val="center"/>
          </w:tcPr>
          <w:p w14:paraId="54A1D1CB" w14:textId="77777777" w:rsidR="00EF3DD9" w:rsidRPr="00E77373" w:rsidRDefault="00EF3DD9" w:rsidP="00BB5DB7">
            <w:r>
              <w:t>Date</w:t>
            </w:r>
          </w:p>
        </w:tc>
        <w:tc>
          <w:tcPr>
            <w:tcW w:w="3969" w:type="dxa"/>
            <w:shd w:val="clear" w:color="auto" w:fill="auto"/>
            <w:vAlign w:val="center"/>
          </w:tcPr>
          <w:p w14:paraId="54A1D1CC" w14:textId="77777777" w:rsidR="00EF3DD9" w:rsidRPr="00E77373" w:rsidRDefault="00EF3DD9" w:rsidP="00BB5DB7">
            <w:r>
              <w:t>First version</w:t>
            </w:r>
          </w:p>
        </w:tc>
      </w:tr>
      <w:bookmarkEnd w:id="2"/>
      <w:bookmarkEnd w:id="3"/>
      <w:bookmarkEnd w:id="4"/>
      <w:tr w:rsidR="00EF3DD9" w:rsidRPr="00E77373" w14:paraId="54A1D1D2" w14:textId="77777777" w:rsidTr="00EF3DD9">
        <w:tc>
          <w:tcPr>
            <w:tcW w:w="1242" w:type="dxa"/>
            <w:shd w:val="clear" w:color="auto" w:fill="auto"/>
            <w:vAlign w:val="center"/>
          </w:tcPr>
          <w:p w14:paraId="54A1D1CE" w14:textId="77777777" w:rsidR="00EF3DD9" w:rsidRPr="00E77373" w:rsidRDefault="00EF3DD9" w:rsidP="00BB5DB7">
            <w:r>
              <w:t>1.1</w:t>
            </w:r>
          </w:p>
        </w:tc>
        <w:tc>
          <w:tcPr>
            <w:tcW w:w="2410" w:type="dxa"/>
            <w:shd w:val="clear" w:color="auto" w:fill="auto"/>
            <w:vAlign w:val="center"/>
          </w:tcPr>
          <w:p w14:paraId="54A1D1CF" w14:textId="77777777" w:rsidR="00EF3DD9" w:rsidRPr="00E77373" w:rsidRDefault="00EF3DD9" w:rsidP="00BB5DB7">
            <w:r>
              <w:t>Author Name</w:t>
            </w:r>
          </w:p>
        </w:tc>
        <w:tc>
          <w:tcPr>
            <w:tcW w:w="1559" w:type="dxa"/>
            <w:shd w:val="clear" w:color="auto" w:fill="auto"/>
            <w:vAlign w:val="center"/>
          </w:tcPr>
          <w:p w14:paraId="54A1D1D0" w14:textId="77777777" w:rsidR="00EF3DD9" w:rsidRPr="00E77373" w:rsidRDefault="00EF3DD9" w:rsidP="00BB5DB7">
            <w:r>
              <w:t>Date</w:t>
            </w:r>
          </w:p>
        </w:tc>
        <w:tc>
          <w:tcPr>
            <w:tcW w:w="3969" w:type="dxa"/>
            <w:shd w:val="clear" w:color="auto" w:fill="auto"/>
            <w:vAlign w:val="center"/>
          </w:tcPr>
          <w:p w14:paraId="54A1D1D1" w14:textId="77777777" w:rsidR="00EF3DD9" w:rsidRPr="00E77373" w:rsidRDefault="00EF3DD9" w:rsidP="00BB5DB7">
            <w:r>
              <w:t>Minor revision</w:t>
            </w:r>
          </w:p>
        </w:tc>
      </w:tr>
      <w:tr w:rsidR="00EF3DD9" w:rsidRPr="00E77373" w14:paraId="54A1D1D7" w14:textId="77777777" w:rsidTr="00EF3DD9">
        <w:tc>
          <w:tcPr>
            <w:tcW w:w="1242" w:type="dxa"/>
            <w:shd w:val="clear" w:color="auto" w:fill="auto"/>
            <w:vAlign w:val="center"/>
          </w:tcPr>
          <w:p w14:paraId="54A1D1D3" w14:textId="77777777" w:rsidR="00EF3DD9" w:rsidRPr="0043395D" w:rsidRDefault="00EF3DD9" w:rsidP="00BB5DB7">
            <w:r>
              <w:t>2.0</w:t>
            </w:r>
          </w:p>
        </w:tc>
        <w:tc>
          <w:tcPr>
            <w:tcW w:w="2410" w:type="dxa"/>
            <w:shd w:val="clear" w:color="auto" w:fill="auto"/>
            <w:vAlign w:val="center"/>
          </w:tcPr>
          <w:p w14:paraId="54A1D1D4" w14:textId="77777777" w:rsidR="00EF3DD9" w:rsidRPr="0043395D" w:rsidRDefault="00EF3DD9" w:rsidP="00BB5DB7">
            <w:r>
              <w:t>Author Name</w:t>
            </w:r>
          </w:p>
        </w:tc>
        <w:tc>
          <w:tcPr>
            <w:tcW w:w="1559" w:type="dxa"/>
            <w:shd w:val="clear" w:color="auto" w:fill="auto"/>
            <w:vAlign w:val="center"/>
          </w:tcPr>
          <w:p w14:paraId="54A1D1D5" w14:textId="77777777" w:rsidR="00EF3DD9" w:rsidRPr="0043395D" w:rsidRDefault="00EF3DD9" w:rsidP="00BB5DB7">
            <w:r>
              <w:t xml:space="preserve">Date </w:t>
            </w:r>
          </w:p>
        </w:tc>
        <w:tc>
          <w:tcPr>
            <w:tcW w:w="3969" w:type="dxa"/>
            <w:shd w:val="clear" w:color="auto" w:fill="auto"/>
            <w:vAlign w:val="center"/>
          </w:tcPr>
          <w:p w14:paraId="54A1D1D6" w14:textId="77777777" w:rsidR="00EF3DD9" w:rsidRPr="0043395D" w:rsidRDefault="00EF3DD9" w:rsidP="00BB5DB7">
            <w:r>
              <w:t>Major revision</w:t>
            </w:r>
          </w:p>
        </w:tc>
      </w:tr>
      <w:tr w:rsidR="00EF3DD9" w:rsidRPr="00E77373" w14:paraId="54A1D1DC" w14:textId="77777777" w:rsidTr="00EF3DD9">
        <w:tc>
          <w:tcPr>
            <w:tcW w:w="1242" w:type="dxa"/>
            <w:shd w:val="clear" w:color="auto" w:fill="auto"/>
            <w:vAlign w:val="center"/>
          </w:tcPr>
          <w:p w14:paraId="54A1D1D8" w14:textId="77777777" w:rsidR="00EF3DD9" w:rsidRPr="0043395D" w:rsidRDefault="00EF3DD9" w:rsidP="00BB5DB7"/>
        </w:tc>
        <w:tc>
          <w:tcPr>
            <w:tcW w:w="2410" w:type="dxa"/>
            <w:shd w:val="clear" w:color="auto" w:fill="auto"/>
            <w:vAlign w:val="center"/>
          </w:tcPr>
          <w:p w14:paraId="54A1D1D9" w14:textId="77777777" w:rsidR="00EF3DD9" w:rsidRPr="0043395D" w:rsidRDefault="00EF3DD9" w:rsidP="00BB5DB7"/>
        </w:tc>
        <w:tc>
          <w:tcPr>
            <w:tcW w:w="1559" w:type="dxa"/>
            <w:shd w:val="clear" w:color="auto" w:fill="auto"/>
            <w:vAlign w:val="center"/>
          </w:tcPr>
          <w:p w14:paraId="54A1D1DA" w14:textId="77777777" w:rsidR="00EF3DD9" w:rsidRDefault="00EF3DD9" w:rsidP="00BB5DB7"/>
        </w:tc>
        <w:tc>
          <w:tcPr>
            <w:tcW w:w="3969" w:type="dxa"/>
            <w:shd w:val="clear" w:color="auto" w:fill="auto"/>
            <w:vAlign w:val="center"/>
          </w:tcPr>
          <w:p w14:paraId="54A1D1DB" w14:textId="77777777" w:rsidR="00EF3DD9" w:rsidRDefault="00EF3DD9" w:rsidP="00BB5DB7"/>
        </w:tc>
      </w:tr>
    </w:tbl>
    <w:p w14:paraId="54A1D1DD"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54A1D1DE" w14:textId="77777777" w:rsidR="00AC7637" w:rsidRDefault="00AC7637" w:rsidP="00EF3DD9">
          <w:pPr>
            <w:pStyle w:val="TOCHeading"/>
            <w:rPr>
              <w:rFonts w:ascii="Arial" w:eastAsiaTheme="minorHAnsi" w:hAnsi="Arial" w:cstheme="minorBidi"/>
              <w:b w:val="0"/>
              <w:bCs w:val="0"/>
              <w:color w:val="auto"/>
              <w:sz w:val="22"/>
              <w:szCs w:val="22"/>
              <w:lang w:val="en-GB" w:eastAsia="en-US"/>
            </w:rPr>
          </w:pPr>
        </w:p>
        <w:p w14:paraId="54A1D1DF" w14:textId="77777777" w:rsidR="00AC7637" w:rsidRDefault="00AC7637">
          <w:pPr>
            <w:spacing w:after="200" w:line="276" w:lineRule="auto"/>
          </w:pPr>
          <w:r>
            <w:rPr>
              <w:b/>
              <w:bCs/>
            </w:rPr>
            <w:br w:type="page"/>
          </w:r>
        </w:p>
        <w:p w14:paraId="54A1D1E0" w14:textId="77777777" w:rsidR="00EF3DD9" w:rsidRPr="00EF3DD9" w:rsidRDefault="00EF3DD9" w:rsidP="00EF3DD9">
          <w:pPr>
            <w:pStyle w:val="TOCHeading"/>
            <w:rPr>
              <w:rStyle w:val="TableheadingsChar"/>
              <w:color w:val="auto"/>
            </w:rPr>
          </w:pPr>
          <w:r w:rsidRPr="00EF3DD9">
            <w:rPr>
              <w:rStyle w:val="TableheadingsChar"/>
              <w:color w:val="auto"/>
            </w:rPr>
            <w:lastRenderedPageBreak/>
            <w:t xml:space="preserve">Table </w:t>
          </w:r>
          <w:r>
            <w:rPr>
              <w:rStyle w:val="TableheadingsChar"/>
              <w:color w:val="auto"/>
            </w:rPr>
            <w:t xml:space="preserve">of </w:t>
          </w:r>
          <w:r w:rsidRPr="00EF3DD9">
            <w:rPr>
              <w:rStyle w:val="TableheadingsChar"/>
              <w:color w:val="auto"/>
            </w:rPr>
            <w:t>Contents</w:t>
          </w:r>
        </w:p>
        <w:p w14:paraId="54A1D1E1" w14:textId="77777777" w:rsidR="00B31B3E" w:rsidRDefault="00EF3DD9">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387826709" w:history="1">
            <w:r w:rsidR="00B31B3E" w:rsidRPr="00C165C7">
              <w:rPr>
                <w:rStyle w:val="Hyperlink"/>
                <w:noProof/>
              </w:rPr>
              <w:t>Finance</w:t>
            </w:r>
            <w:r w:rsidR="00B31B3E">
              <w:rPr>
                <w:noProof/>
                <w:webHidden/>
              </w:rPr>
              <w:tab/>
            </w:r>
            <w:r w:rsidR="00B31B3E">
              <w:rPr>
                <w:noProof/>
                <w:webHidden/>
              </w:rPr>
              <w:fldChar w:fldCharType="begin"/>
            </w:r>
            <w:r w:rsidR="00B31B3E">
              <w:rPr>
                <w:noProof/>
                <w:webHidden/>
              </w:rPr>
              <w:instrText xml:space="preserve"> PAGEREF _Toc387826709 \h </w:instrText>
            </w:r>
            <w:r w:rsidR="00B31B3E">
              <w:rPr>
                <w:noProof/>
                <w:webHidden/>
              </w:rPr>
            </w:r>
            <w:r w:rsidR="00B31B3E">
              <w:rPr>
                <w:noProof/>
                <w:webHidden/>
              </w:rPr>
              <w:fldChar w:fldCharType="separate"/>
            </w:r>
            <w:r w:rsidR="00DA2103">
              <w:rPr>
                <w:noProof/>
                <w:webHidden/>
              </w:rPr>
              <w:t>1</w:t>
            </w:r>
            <w:r w:rsidR="00B31B3E">
              <w:rPr>
                <w:noProof/>
                <w:webHidden/>
              </w:rPr>
              <w:fldChar w:fldCharType="end"/>
            </w:r>
          </w:hyperlink>
        </w:p>
        <w:p w14:paraId="54A1D1E2" w14:textId="77777777" w:rsidR="00B31B3E" w:rsidRDefault="00E93DBC">
          <w:pPr>
            <w:pStyle w:val="TOC1"/>
            <w:tabs>
              <w:tab w:val="right" w:leader="dot" w:pos="9016"/>
            </w:tabs>
            <w:rPr>
              <w:rFonts w:asciiTheme="minorHAnsi" w:eastAsiaTheme="minorEastAsia" w:hAnsiTheme="minorHAnsi"/>
              <w:noProof/>
              <w:lang w:eastAsia="en-GB"/>
            </w:rPr>
          </w:pPr>
          <w:hyperlink w:anchor="_Toc387826710" w:history="1">
            <w:r w:rsidR="00B31B3E" w:rsidRPr="00C165C7">
              <w:rPr>
                <w:rStyle w:val="Hyperlink"/>
                <w:noProof/>
              </w:rPr>
              <w:t>Policy: Accounts Receivable</w:t>
            </w:r>
            <w:r w:rsidR="00B31B3E">
              <w:rPr>
                <w:noProof/>
                <w:webHidden/>
              </w:rPr>
              <w:tab/>
            </w:r>
            <w:r w:rsidR="00B31B3E">
              <w:rPr>
                <w:noProof/>
                <w:webHidden/>
              </w:rPr>
              <w:fldChar w:fldCharType="begin"/>
            </w:r>
            <w:r w:rsidR="00B31B3E">
              <w:rPr>
                <w:noProof/>
                <w:webHidden/>
              </w:rPr>
              <w:instrText xml:space="preserve"> PAGEREF _Toc387826710 \h </w:instrText>
            </w:r>
            <w:r w:rsidR="00B31B3E">
              <w:rPr>
                <w:noProof/>
                <w:webHidden/>
              </w:rPr>
            </w:r>
            <w:r w:rsidR="00B31B3E">
              <w:rPr>
                <w:noProof/>
                <w:webHidden/>
              </w:rPr>
              <w:fldChar w:fldCharType="separate"/>
            </w:r>
            <w:r w:rsidR="00DA2103">
              <w:rPr>
                <w:noProof/>
                <w:webHidden/>
              </w:rPr>
              <w:t>4</w:t>
            </w:r>
            <w:r w:rsidR="00B31B3E">
              <w:rPr>
                <w:noProof/>
                <w:webHidden/>
              </w:rPr>
              <w:fldChar w:fldCharType="end"/>
            </w:r>
          </w:hyperlink>
        </w:p>
        <w:p w14:paraId="54A1D1E3" w14:textId="77777777" w:rsidR="00B31B3E" w:rsidRDefault="00E93DBC">
          <w:pPr>
            <w:pStyle w:val="TOC2"/>
            <w:tabs>
              <w:tab w:val="left" w:pos="660"/>
              <w:tab w:val="right" w:leader="dot" w:pos="9016"/>
            </w:tabs>
            <w:rPr>
              <w:rFonts w:asciiTheme="minorHAnsi" w:eastAsiaTheme="minorEastAsia" w:hAnsiTheme="minorHAnsi"/>
              <w:noProof/>
              <w:lang w:eastAsia="en-GB"/>
            </w:rPr>
          </w:pPr>
          <w:hyperlink w:anchor="_Toc387826711" w:history="1">
            <w:r w:rsidR="00B31B3E" w:rsidRPr="00C165C7">
              <w:rPr>
                <w:rStyle w:val="Hyperlink"/>
                <w:noProof/>
              </w:rPr>
              <w:t>1.</w:t>
            </w:r>
            <w:r w:rsidR="00B31B3E">
              <w:rPr>
                <w:rFonts w:asciiTheme="minorHAnsi" w:eastAsiaTheme="minorEastAsia" w:hAnsiTheme="minorHAnsi"/>
                <w:noProof/>
                <w:lang w:eastAsia="en-GB"/>
              </w:rPr>
              <w:tab/>
            </w:r>
            <w:r w:rsidR="00B31B3E" w:rsidRPr="00C165C7">
              <w:rPr>
                <w:rStyle w:val="Hyperlink"/>
                <w:noProof/>
              </w:rPr>
              <w:t>Purpose</w:t>
            </w:r>
            <w:r w:rsidR="00B31B3E">
              <w:rPr>
                <w:noProof/>
                <w:webHidden/>
              </w:rPr>
              <w:tab/>
            </w:r>
            <w:r w:rsidR="00B31B3E">
              <w:rPr>
                <w:noProof/>
                <w:webHidden/>
              </w:rPr>
              <w:fldChar w:fldCharType="begin"/>
            </w:r>
            <w:r w:rsidR="00B31B3E">
              <w:rPr>
                <w:noProof/>
                <w:webHidden/>
              </w:rPr>
              <w:instrText xml:space="preserve"> PAGEREF _Toc387826711 \h </w:instrText>
            </w:r>
            <w:r w:rsidR="00B31B3E">
              <w:rPr>
                <w:noProof/>
                <w:webHidden/>
              </w:rPr>
            </w:r>
            <w:r w:rsidR="00B31B3E">
              <w:rPr>
                <w:noProof/>
                <w:webHidden/>
              </w:rPr>
              <w:fldChar w:fldCharType="separate"/>
            </w:r>
            <w:r w:rsidR="00DA2103">
              <w:rPr>
                <w:noProof/>
                <w:webHidden/>
              </w:rPr>
              <w:t>4</w:t>
            </w:r>
            <w:r w:rsidR="00B31B3E">
              <w:rPr>
                <w:noProof/>
                <w:webHidden/>
              </w:rPr>
              <w:fldChar w:fldCharType="end"/>
            </w:r>
          </w:hyperlink>
        </w:p>
        <w:p w14:paraId="54A1D1E4" w14:textId="77777777" w:rsidR="00B31B3E" w:rsidRDefault="00E93DBC">
          <w:pPr>
            <w:pStyle w:val="TOC2"/>
            <w:tabs>
              <w:tab w:val="left" w:pos="660"/>
              <w:tab w:val="right" w:leader="dot" w:pos="9016"/>
            </w:tabs>
            <w:rPr>
              <w:rFonts w:asciiTheme="minorHAnsi" w:eastAsiaTheme="minorEastAsia" w:hAnsiTheme="minorHAnsi"/>
              <w:noProof/>
              <w:lang w:eastAsia="en-GB"/>
            </w:rPr>
          </w:pPr>
          <w:hyperlink w:anchor="_Toc387826712" w:history="1">
            <w:r w:rsidR="00B31B3E" w:rsidRPr="00C165C7">
              <w:rPr>
                <w:rStyle w:val="Hyperlink"/>
                <w:noProof/>
              </w:rPr>
              <w:t>2.</w:t>
            </w:r>
            <w:r w:rsidR="00B31B3E">
              <w:rPr>
                <w:rFonts w:asciiTheme="minorHAnsi" w:eastAsiaTheme="minorEastAsia" w:hAnsiTheme="minorHAnsi"/>
                <w:noProof/>
                <w:lang w:eastAsia="en-GB"/>
              </w:rPr>
              <w:tab/>
            </w:r>
            <w:r w:rsidR="00B31B3E" w:rsidRPr="00C165C7">
              <w:rPr>
                <w:rStyle w:val="Hyperlink"/>
                <w:noProof/>
              </w:rPr>
              <w:t>Scope</w:t>
            </w:r>
            <w:r w:rsidR="00B31B3E">
              <w:rPr>
                <w:noProof/>
                <w:webHidden/>
              </w:rPr>
              <w:tab/>
            </w:r>
            <w:r w:rsidR="00B31B3E">
              <w:rPr>
                <w:noProof/>
                <w:webHidden/>
              </w:rPr>
              <w:fldChar w:fldCharType="begin"/>
            </w:r>
            <w:r w:rsidR="00B31B3E">
              <w:rPr>
                <w:noProof/>
                <w:webHidden/>
              </w:rPr>
              <w:instrText xml:space="preserve"> PAGEREF _Toc387826712 \h </w:instrText>
            </w:r>
            <w:r w:rsidR="00B31B3E">
              <w:rPr>
                <w:noProof/>
                <w:webHidden/>
              </w:rPr>
            </w:r>
            <w:r w:rsidR="00B31B3E">
              <w:rPr>
                <w:noProof/>
                <w:webHidden/>
              </w:rPr>
              <w:fldChar w:fldCharType="separate"/>
            </w:r>
            <w:r w:rsidR="00DA2103">
              <w:rPr>
                <w:noProof/>
                <w:webHidden/>
              </w:rPr>
              <w:t>4</w:t>
            </w:r>
            <w:r w:rsidR="00B31B3E">
              <w:rPr>
                <w:noProof/>
                <w:webHidden/>
              </w:rPr>
              <w:fldChar w:fldCharType="end"/>
            </w:r>
          </w:hyperlink>
        </w:p>
        <w:p w14:paraId="54A1D1E5" w14:textId="77777777" w:rsidR="00B31B3E" w:rsidRDefault="00E93DBC">
          <w:pPr>
            <w:pStyle w:val="TOC2"/>
            <w:tabs>
              <w:tab w:val="left" w:pos="660"/>
              <w:tab w:val="right" w:leader="dot" w:pos="9016"/>
            </w:tabs>
            <w:rPr>
              <w:rFonts w:asciiTheme="minorHAnsi" w:eastAsiaTheme="minorEastAsia" w:hAnsiTheme="minorHAnsi"/>
              <w:noProof/>
              <w:lang w:eastAsia="en-GB"/>
            </w:rPr>
          </w:pPr>
          <w:hyperlink w:anchor="_Toc387826713" w:history="1">
            <w:r w:rsidR="00B31B3E" w:rsidRPr="00C165C7">
              <w:rPr>
                <w:rStyle w:val="Hyperlink"/>
                <w:noProof/>
              </w:rPr>
              <w:t>3.</w:t>
            </w:r>
            <w:r w:rsidR="00B31B3E">
              <w:rPr>
                <w:rFonts w:asciiTheme="minorHAnsi" w:eastAsiaTheme="minorEastAsia" w:hAnsiTheme="minorHAnsi"/>
                <w:noProof/>
                <w:lang w:eastAsia="en-GB"/>
              </w:rPr>
              <w:tab/>
            </w:r>
            <w:r w:rsidR="00B31B3E" w:rsidRPr="00C165C7">
              <w:rPr>
                <w:rStyle w:val="Hyperlink"/>
                <w:noProof/>
              </w:rPr>
              <w:t>Principles</w:t>
            </w:r>
            <w:r w:rsidR="00B31B3E">
              <w:rPr>
                <w:noProof/>
                <w:webHidden/>
              </w:rPr>
              <w:tab/>
            </w:r>
            <w:r w:rsidR="00B31B3E">
              <w:rPr>
                <w:noProof/>
                <w:webHidden/>
              </w:rPr>
              <w:fldChar w:fldCharType="begin"/>
            </w:r>
            <w:r w:rsidR="00B31B3E">
              <w:rPr>
                <w:noProof/>
                <w:webHidden/>
              </w:rPr>
              <w:instrText xml:space="preserve"> PAGEREF _Toc387826713 \h </w:instrText>
            </w:r>
            <w:r w:rsidR="00B31B3E">
              <w:rPr>
                <w:noProof/>
                <w:webHidden/>
              </w:rPr>
            </w:r>
            <w:r w:rsidR="00B31B3E">
              <w:rPr>
                <w:noProof/>
                <w:webHidden/>
              </w:rPr>
              <w:fldChar w:fldCharType="separate"/>
            </w:r>
            <w:r w:rsidR="00DA2103">
              <w:rPr>
                <w:noProof/>
                <w:webHidden/>
              </w:rPr>
              <w:t>4</w:t>
            </w:r>
            <w:r w:rsidR="00B31B3E">
              <w:rPr>
                <w:noProof/>
                <w:webHidden/>
              </w:rPr>
              <w:fldChar w:fldCharType="end"/>
            </w:r>
          </w:hyperlink>
        </w:p>
        <w:p w14:paraId="54A1D1E6" w14:textId="77777777" w:rsidR="00B31B3E" w:rsidRDefault="00E93DBC">
          <w:pPr>
            <w:pStyle w:val="TOC2"/>
            <w:tabs>
              <w:tab w:val="left" w:pos="660"/>
              <w:tab w:val="right" w:leader="dot" w:pos="9016"/>
            </w:tabs>
            <w:rPr>
              <w:rFonts w:asciiTheme="minorHAnsi" w:eastAsiaTheme="minorEastAsia" w:hAnsiTheme="minorHAnsi"/>
              <w:noProof/>
              <w:lang w:eastAsia="en-GB"/>
            </w:rPr>
          </w:pPr>
          <w:hyperlink w:anchor="_Toc387826714" w:history="1">
            <w:r w:rsidR="00B31B3E" w:rsidRPr="00C165C7">
              <w:rPr>
                <w:rStyle w:val="Hyperlink"/>
                <w:noProof/>
              </w:rPr>
              <w:t>4.</w:t>
            </w:r>
            <w:r w:rsidR="00B31B3E">
              <w:rPr>
                <w:rFonts w:asciiTheme="minorHAnsi" w:eastAsiaTheme="minorEastAsia" w:hAnsiTheme="minorHAnsi"/>
                <w:noProof/>
                <w:lang w:eastAsia="en-GB"/>
              </w:rPr>
              <w:tab/>
            </w:r>
            <w:r w:rsidR="00B31B3E" w:rsidRPr="00C165C7">
              <w:rPr>
                <w:rStyle w:val="Hyperlink"/>
                <w:noProof/>
              </w:rPr>
              <w:t>Policy Details</w:t>
            </w:r>
            <w:r w:rsidR="00B31B3E">
              <w:rPr>
                <w:noProof/>
                <w:webHidden/>
              </w:rPr>
              <w:tab/>
            </w:r>
            <w:r w:rsidR="00B31B3E">
              <w:rPr>
                <w:noProof/>
                <w:webHidden/>
              </w:rPr>
              <w:fldChar w:fldCharType="begin"/>
            </w:r>
            <w:r w:rsidR="00B31B3E">
              <w:rPr>
                <w:noProof/>
                <w:webHidden/>
              </w:rPr>
              <w:instrText xml:space="preserve"> PAGEREF _Toc387826714 \h </w:instrText>
            </w:r>
            <w:r w:rsidR="00B31B3E">
              <w:rPr>
                <w:noProof/>
                <w:webHidden/>
              </w:rPr>
            </w:r>
            <w:r w:rsidR="00B31B3E">
              <w:rPr>
                <w:noProof/>
                <w:webHidden/>
              </w:rPr>
              <w:fldChar w:fldCharType="separate"/>
            </w:r>
            <w:r w:rsidR="00DA2103">
              <w:rPr>
                <w:noProof/>
                <w:webHidden/>
              </w:rPr>
              <w:t>4</w:t>
            </w:r>
            <w:r w:rsidR="00B31B3E">
              <w:rPr>
                <w:noProof/>
                <w:webHidden/>
              </w:rPr>
              <w:fldChar w:fldCharType="end"/>
            </w:r>
          </w:hyperlink>
        </w:p>
        <w:p w14:paraId="54A1D1E7" w14:textId="77777777" w:rsidR="00B31B3E" w:rsidRDefault="00E93DBC">
          <w:pPr>
            <w:pStyle w:val="TOC3"/>
            <w:tabs>
              <w:tab w:val="left" w:pos="1100"/>
              <w:tab w:val="right" w:leader="dot" w:pos="9016"/>
            </w:tabs>
            <w:rPr>
              <w:rFonts w:asciiTheme="minorHAnsi" w:eastAsiaTheme="minorEastAsia" w:hAnsiTheme="minorHAnsi"/>
              <w:noProof/>
              <w:lang w:eastAsia="en-GB"/>
            </w:rPr>
          </w:pPr>
          <w:hyperlink w:anchor="_Toc387826715" w:history="1">
            <w:r w:rsidR="00B31B3E" w:rsidRPr="00C165C7">
              <w:rPr>
                <w:rStyle w:val="Hyperlink"/>
                <w:noProof/>
              </w:rPr>
              <w:t>4.1</w:t>
            </w:r>
            <w:r w:rsidR="00B31B3E">
              <w:rPr>
                <w:rFonts w:asciiTheme="minorHAnsi" w:eastAsiaTheme="minorEastAsia" w:hAnsiTheme="minorHAnsi"/>
                <w:noProof/>
                <w:lang w:eastAsia="en-GB"/>
              </w:rPr>
              <w:tab/>
            </w:r>
            <w:r w:rsidR="00B31B3E" w:rsidRPr="00C165C7">
              <w:rPr>
                <w:rStyle w:val="Hyperlink"/>
                <w:noProof/>
              </w:rPr>
              <w:t>Credit Limit Application</w:t>
            </w:r>
            <w:r w:rsidR="00B31B3E">
              <w:rPr>
                <w:noProof/>
                <w:webHidden/>
              </w:rPr>
              <w:tab/>
            </w:r>
            <w:r w:rsidR="00B31B3E">
              <w:rPr>
                <w:noProof/>
                <w:webHidden/>
              </w:rPr>
              <w:fldChar w:fldCharType="begin"/>
            </w:r>
            <w:r w:rsidR="00B31B3E">
              <w:rPr>
                <w:noProof/>
                <w:webHidden/>
              </w:rPr>
              <w:instrText xml:space="preserve"> PAGEREF _Toc387826715 \h </w:instrText>
            </w:r>
            <w:r w:rsidR="00B31B3E">
              <w:rPr>
                <w:noProof/>
                <w:webHidden/>
              </w:rPr>
            </w:r>
            <w:r w:rsidR="00B31B3E">
              <w:rPr>
                <w:noProof/>
                <w:webHidden/>
              </w:rPr>
              <w:fldChar w:fldCharType="separate"/>
            </w:r>
            <w:r w:rsidR="00DA2103">
              <w:rPr>
                <w:noProof/>
                <w:webHidden/>
              </w:rPr>
              <w:t>4</w:t>
            </w:r>
            <w:r w:rsidR="00B31B3E">
              <w:rPr>
                <w:noProof/>
                <w:webHidden/>
              </w:rPr>
              <w:fldChar w:fldCharType="end"/>
            </w:r>
          </w:hyperlink>
        </w:p>
        <w:p w14:paraId="54A1D1E8" w14:textId="77777777" w:rsidR="00B31B3E" w:rsidRDefault="00E93DBC">
          <w:pPr>
            <w:pStyle w:val="TOC3"/>
            <w:tabs>
              <w:tab w:val="left" w:pos="1100"/>
              <w:tab w:val="right" w:leader="dot" w:pos="9016"/>
            </w:tabs>
            <w:rPr>
              <w:rFonts w:asciiTheme="minorHAnsi" w:eastAsiaTheme="minorEastAsia" w:hAnsiTheme="minorHAnsi"/>
              <w:noProof/>
              <w:lang w:eastAsia="en-GB"/>
            </w:rPr>
          </w:pPr>
          <w:hyperlink w:anchor="_Toc387826716" w:history="1">
            <w:r w:rsidR="00B31B3E" w:rsidRPr="00C165C7">
              <w:rPr>
                <w:rStyle w:val="Hyperlink"/>
                <w:noProof/>
              </w:rPr>
              <w:t>4.2</w:t>
            </w:r>
            <w:r w:rsidR="00B31B3E">
              <w:rPr>
                <w:rFonts w:asciiTheme="minorHAnsi" w:eastAsiaTheme="minorEastAsia" w:hAnsiTheme="minorHAnsi"/>
                <w:noProof/>
                <w:lang w:eastAsia="en-GB"/>
              </w:rPr>
              <w:tab/>
            </w:r>
            <w:r w:rsidR="00B31B3E" w:rsidRPr="00C165C7">
              <w:rPr>
                <w:rStyle w:val="Hyperlink"/>
                <w:noProof/>
              </w:rPr>
              <w:t>Accounts Receivable Management</w:t>
            </w:r>
            <w:r w:rsidR="00B31B3E">
              <w:rPr>
                <w:noProof/>
                <w:webHidden/>
              </w:rPr>
              <w:tab/>
            </w:r>
            <w:r w:rsidR="00B31B3E">
              <w:rPr>
                <w:noProof/>
                <w:webHidden/>
              </w:rPr>
              <w:fldChar w:fldCharType="begin"/>
            </w:r>
            <w:r w:rsidR="00B31B3E">
              <w:rPr>
                <w:noProof/>
                <w:webHidden/>
              </w:rPr>
              <w:instrText xml:space="preserve"> PAGEREF _Toc387826716 \h </w:instrText>
            </w:r>
            <w:r w:rsidR="00B31B3E">
              <w:rPr>
                <w:noProof/>
                <w:webHidden/>
              </w:rPr>
            </w:r>
            <w:r w:rsidR="00B31B3E">
              <w:rPr>
                <w:noProof/>
                <w:webHidden/>
              </w:rPr>
              <w:fldChar w:fldCharType="separate"/>
            </w:r>
            <w:r w:rsidR="00DA2103">
              <w:rPr>
                <w:noProof/>
                <w:webHidden/>
              </w:rPr>
              <w:t>6</w:t>
            </w:r>
            <w:r w:rsidR="00B31B3E">
              <w:rPr>
                <w:noProof/>
                <w:webHidden/>
              </w:rPr>
              <w:fldChar w:fldCharType="end"/>
            </w:r>
          </w:hyperlink>
        </w:p>
        <w:p w14:paraId="54A1D1E9" w14:textId="77777777" w:rsidR="00B31B3E" w:rsidRDefault="00E93DBC">
          <w:pPr>
            <w:pStyle w:val="TOC3"/>
            <w:tabs>
              <w:tab w:val="left" w:pos="1100"/>
              <w:tab w:val="right" w:leader="dot" w:pos="9016"/>
            </w:tabs>
            <w:rPr>
              <w:rFonts w:asciiTheme="minorHAnsi" w:eastAsiaTheme="minorEastAsia" w:hAnsiTheme="minorHAnsi"/>
              <w:noProof/>
              <w:lang w:eastAsia="en-GB"/>
            </w:rPr>
          </w:pPr>
          <w:hyperlink w:anchor="_Toc387826717" w:history="1">
            <w:r w:rsidR="00B31B3E" w:rsidRPr="00C165C7">
              <w:rPr>
                <w:rStyle w:val="Hyperlink"/>
                <w:noProof/>
              </w:rPr>
              <w:t>4.3</w:t>
            </w:r>
            <w:r w:rsidR="00B31B3E">
              <w:rPr>
                <w:rFonts w:asciiTheme="minorHAnsi" w:eastAsiaTheme="minorEastAsia" w:hAnsiTheme="minorHAnsi"/>
                <w:noProof/>
                <w:lang w:eastAsia="en-GB"/>
              </w:rPr>
              <w:tab/>
            </w:r>
            <w:r w:rsidR="00B31B3E" w:rsidRPr="00C165C7">
              <w:rPr>
                <w:rStyle w:val="Hyperlink"/>
                <w:noProof/>
              </w:rPr>
              <w:t>Bad Debt Allowance</w:t>
            </w:r>
            <w:r w:rsidR="00B31B3E">
              <w:rPr>
                <w:noProof/>
                <w:webHidden/>
              </w:rPr>
              <w:tab/>
            </w:r>
            <w:r w:rsidR="00B31B3E">
              <w:rPr>
                <w:noProof/>
                <w:webHidden/>
              </w:rPr>
              <w:fldChar w:fldCharType="begin"/>
            </w:r>
            <w:r w:rsidR="00B31B3E">
              <w:rPr>
                <w:noProof/>
                <w:webHidden/>
              </w:rPr>
              <w:instrText xml:space="preserve"> PAGEREF _Toc387826717 \h </w:instrText>
            </w:r>
            <w:r w:rsidR="00B31B3E">
              <w:rPr>
                <w:noProof/>
                <w:webHidden/>
              </w:rPr>
            </w:r>
            <w:r w:rsidR="00B31B3E">
              <w:rPr>
                <w:noProof/>
                <w:webHidden/>
              </w:rPr>
              <w:fldChar w:fldCharType="separate"/>
            </w:r>
            <w:r w:rsidR="00DA2103">
              <w:rPr>
                <w:noProof/>
                <w:webHidden/>
              </w:rPr>
              <w:t>8</w:t>
            </w:r>
            <w:r w:rsidR="00B31B3E">
              <w:rPr>
                <w:noProof/>
                <w:webHidden/>
              </w:rPr>
              <w:fldChar w:fldCharType="end"/>
            </w:r>
          </w:hyperlink>
        </w:p>
        <w:p w14:paraId="54A1D1EA" w14:textId="77777777" w:rsidR="00B31B3E" w:rsidRDefault="00E93DBC">
          <w:pPr>
            <w:pStyle w:val="TOC3"/>
            <w:tabs>
              <w:tab w:val="left" w:pos="1100"/>
              <w:tab w:val="right" w:leader="dot" w:pos="9016"/>
            </w:tabs>
            <w:rPr>
              <w:rFonts w:asciiTheme="minorHAnsi" w:eastAsiaTheme="minorEastAsia" w:hAnsiTheme="minorHAnsi"/>
              <w:noProof/>
              <w:lang w:eastAsia="en-GB"/>
            </w:rPr>
          </w:pPr>
          <w:hyperlink w:anchor="_Toc387826718" w:history="1">
            <w:r w:rsidR="00B31B3E" w:rsidRPr="00C165C7">
              <w:rPr>
                <w:rStyle w:val="Hyperlink"/>
                <w:noProof/>
              </w:rPr>
              <w:t>4.4</w:t>
            </w:r>
            <w:r w:rsidR="00B31B3E">
              <w:rPr>
                <w:rFonts w:asciiTheme="minorHAnsi" w:eastAsiaTheme="minorEastAsia" w:hAnsiTheme="minorHAnsi"/>
                <w:noProof/>
                <w:lang w:eastAsia="en-GB"/>
              </w:rPr>
              <w:tab/>
            </w:r>
            <w:r w:rsidR="00B31B3E" w:rsidRPr="00C165C7">
              <w:rPr>
                <w:rStyle w:val="Hyperlink"/>
                <w:noProof/>
              </w:rPr>
              <w:t>Factoring</w:t>
            </w:r>
            <w:r w:rsidR="00B31B3E">
              <w:rPr>
                <w:noProof/>
                <w:webHidden/>
              </w:rPr>
              <w:tab/>
            </w:r>
            <w:r w:rsidR="00B31B3E">
              <w:rPr>
                <w:noProof/>
                <w:webHidden/>
              </w:rPr>
              <w:fldChar w:fldCharType="begin"/>
            </w:r>
            <w:r w:rsidR="00B31B3E">
              <w:rPr>
                <w:noProof/>
                <w:webHidden/>
              </w:rPr>
              <w:instrText xml:space="preserve"> PAGEREF _Toc387826718 \h </w:instrText>
            </w:r>
            <w:r w:rsidR="00B31B3E">
              <w:rPr>
                <w:noProof/>
                <w:webHidden/>
              </w:rPr>
            </w:r>
            <w:r w:rsidR="00B31B3E">
              <w:rPr>
                <w:noProof/>
                <w:webHidden/>
              </w:rPr>
              <w:fldChar w:fldCharType="separate"/>
            </w:r>
            <w:r w:rsidR="00DA2103">
              <w:rPr>
                <w:noProof/>
                <w:webHidden/>
              </w:rPr>
              <w:t>10</w:t>
            </w:r>
            <w:r w:rsidR="00B31B3E">
              <w:rPr>
                <w:noProof/>
                <w:webHidden/>
              </w:rPr>
              <w:fldChar w:fldCharType="end"/>
            </w:r>
          </w:hyperlink>
        </w:p>
        <w:p w14:paraId="54A1D1EB" w14:textId="77777777" w:rsidR="00B31B3E" w:rsidRDefault="00E93DBC">
          <w:pPr>
            <w:pStyle w:val="TOC2"/>
            <w:tabs>
              <w:tab w:val="left" w:pos="660"/>
              <w:tab w:val="right" w:leader="dot" w:pos="9016"/>
            </w:tabs>
            <w:rPr>
              <w:rFonts w:asciiTheme="minorHAnsi" w:eastAsiaTheme="minorEastAsia" w:hAnsiTheme="minorHAnsi"/>
              <w:noProof/>
              <w:lang w:eastAsia="en-GB"/>
            </w:rPr>
          </w:pPr>
          <w:hyperlink w:anchor="_Toc387826719" w:history="1">
            <w:r w:rsidR="00B31B3E" w:rsidRPr="00C165C7">
              <w:rPr>
                <w:rStyle w:val="Hyperlink"/>
                <w:noProof/>
              </w:rPr>
              <w:t>5.</w:t>
            </w:r>
            <w:r w:rsidR="00B31B3E">
              <w:rPr>
                <w:rFonts w:asciiTheme="minorHAnsi" w:eastAsiaTheme="minorEastAsia" w:hAnsiTheme="minorHAnsi"/>
                <w:noProof/>
                <w:lang w:eastAsia="en-GB"/>
              </w:rPr>
              <w:tab/>
            </w:r>
            <w:r w:rsidR="00B31B3E" w:rsidRPr="00C165C7">
              <w:rPr>
                <w:rStyle w:val="Hyperlink"/>
                <w:noProof/>
              </w:rPr>
              <w:t>Related Areas and Processes</w:t>
            </w:r>
            <w:r w:rsidR="00B31B3E">
              <w:rPr>
                <w:noProof/>
                <w:webHidden/>
              </w:rPr>
              <w:tab/>
            </w:r>
            <w:r w:rsidR="00B31B3E">
              <w:rPr>
                <w:noProof/>
                <w:webHidden/>
              </w:rPr>
              <w:fldChar w:fldCharType="begin"/>
            </w:r>
            <w:r w:rsidR="00B31B3E">
              <w:rPr>
                <w:noProof/>
                <w:webHidden/>
              </w:rPr>
              <w:instrText xml:space="preserve"> PAGEREF _Toc387826719 \h </w:instrText>
            </w:r>
            <w:r w:rsidR="00B31B3E">
              <w:rPr>
                <w:noProof/>
                <w:webHidden/>
              </w:rPr>
            </w:r>
            <w:r w:rsidR="00B31B3E">
              <w:rPr>
                <w:noProof/>
                <w:webHidden/>
              </w:rPr>
              <w:fldChar w:fldCharType="separate"/>
            </w:r>
            <w:r w:rsidR="00DA2103">
              <w:rPr>
                <w:noProof/>
                <w:webHidden/>
              </w:rPr>
              <w:t>10</w:t>
            </w:r>
            <w:r w:rsidR="00B31B3E">
              <w:rPr>
                <w:noProof/>
                <w:webHidden/>
              </w:rPr>
              <w:fldChar w:fldCharType="end"/>
            </w:r>
          </w:hyperlink>
        </w:p>
        <w:p w14:paraId="54A1D1EC" w14:textId="77777777" w:rsidR="00B31B3E" w:rsidRDefault="00E93DBC">
          <w:pPr>
            <w:pStyle w:val="TOC2"/>
            <w:tabs>
              <w:tab w:val="left" w:pos="660"/>
              <w:tab w:val="right" w:leader="dot" w:pos="9016"/>
            </w:tabs>
            <w:rPr>
              <w:rFonts w:asciiTheme="minorHAnsi" w:eastAsiaTheme="minorEastAsia" w:hAnsiTheme="minorHAnsi"/>
              <w:noProof/>
              <w:lang w:eastAsia="en-GB"/>
            </w:rPr>
          </w:pPr>
          <w:hyperlink w:anchor="_Toc387826720" w:history="1">
            <w:r w:rsidR="00B31B3E" w:rsidRPr="00C165C7">
              <w:rPr>
                <w:rStyle w:val="Hyperlink"/>
                <w:rFonts w:cs="Arial"/>
                <w:noProof/>
              </w:rPr>
              <w:t>6.</w:t>
            </w:r>
            <w:r w:rsidR="00B31B3E">
              <w:rPr>
                <w:rFonts w:asciiTheme="minorHAnsi" w:eastAsiaTheme="minorEastAsia" w:hAnsiTheme="minorHAnsi"/>
                <w:noProof/>
                <w:lang w:eastAsia="en-GB"/>
              </w:rPr>
              <w:tab/>
            </w:r>
            <w:r w:rsidR="00B31B3E" w:rsidRPr="00C165C7">
              <w:rPr>
                <w:rStyle w:val="Hyperlink"/>
                <w:noProof/>
              </w:rPr>
              <w:t>Issue management process</w:t>
            </w:r>
            <w:r w:rsidR="00B31B3E">
              <w:rPr>
                <w:noProof/>
                <w:webHidden/>
              </w:rPr>
              <w:tab/>
            </w:r>
            <w:r w:rsidR="00B31B3E">
              <w:rPr>
                <w:noProof/>
                <w:webHidden/>
              </w:rPr>
              <w:fldChar w:fldCharType="begin"/>
            </w:r>
            <w:r w:rsidR="00B31B3E">
              <w:rPr>
                <w:noProof/>
                <w:webHidden/>
              </w:rPr>
              <w:instrText xml:space="preserve"> PAGEREF _Toc387826720 \h </w:instrText>
            </w:r>
            <w:r w:rsidR="00B31B3E">
              <w:rPr>
                <w:noProof/>
                <w:webHidden/>
              </w:rPr>
            </w:r>
            <w:r w:rsidR="00B31B3E">
              <w:rPr>
                <w:noProof/>
                <w:webHidden/>
              </w:rPr>
              <w:fldChar w:fldCharType="separate"/>
            </w:r>
            <w:r w:rsidR="00DA2103">
              <w:rPr>
                <w:noProof/>
                <w:webHidden/>
              </w:rPr>
              <w:t>10</w:t>
            </w:r>
            <w:r w:rsidR="00B31B3E">
              <w:rPr>
                <w:noProof/>
                <w:webHidden/>
              </w:rPr>
              <w:fldChar w:fldCharType="end"/>
            </w:r>
          </w:hyperlink>
        </w:p>
        <w:p w14:paraId="54A1D1ED" w14:textId="77777777" w:rsidR="00B31B3E" w:rsidRDefault="00E93DBC">
          <w:pPr>
            <w:pStyle w:val="TOC1"/>
            <w:tabs>
              <w:tab w:val="right" w:leader="dot" w:pos="9016"/>
            </w:tabs>
            <w:rPr>
              <w:rFonts w:asciiTheme="minorHAnsi" w:eastAsiaTheme="minorEastAsia" w:hAnsiTheme="minorHAnsi"/>
              <w:noProof/>
              <w:lang w:eastAsia="en-GB"/>
            </w:rPr>
          </w:pPr>
          <w:hyperlink w:anchor="_Toc387826721" w:history="1">
            <w:r w:rsidR="00B31B3E" w:rsidRPr="00C165C7">
              <w:rPr>
                <w:rStyle w:val="Hyperlink"/>
                <w:noProof/>
              </w:rPr>
              <w:t>Appendix</w:t>
            </w:r>
            <w:r w:rsidR="00B31B3E">
              <w:rPr>
                <w:noProof/>
                <w:webHidden/>
              </w:rPr>
              <w:tab/>
            </w:r>
            <w:r w:rsidR="00B31B3E">
              <w:rPr>
                <w:noProof/>
                <w:webHidden/>
              </w:rPr>
              <w:fldChar w:fldCharType="begin"/>
            </w:r>
            <w:r w:rsidR="00B31B3E">
              <w:rPr>
                <w:noProof/>
                <w:webHidden/>
              </w:rPr>
              <w:instrText xml:space="preserve"> PAGEREF _Toc387826721 \h </w:instrText>
            </w:r>
            <w:r w:rsidR="00B31B3E">
              <w:rPr>
                <w:noProof/>
                <w:webHidden/>
              </w:rPr>
            </w:r>
            <w:r w:rsidR="00B31B3E">
              <w:rPr>
                <w:noProof/>
                <w:webHidden/>
              </w:rPr>
              <w:fldChar w:fldCharType="separate"/>
            </w:r>
            <w:r w:rsidR="00DA2103">
              <w:rPr>
                <w:noProof/>
                <w:webHidden/>
              </w:rPr>
              <w:t>11</w:t>
            </w:r>
            <w:r w:rsidR="00B31B3E">
              <w:rPr>
                <w:noProof/>
                <w:webHidden/>
              </w:rPr>
              <w:fldChar w:fldCharType="end"/>
            </w:r>
          </w:hyperlink>
        </w:p>
        <w:p w14:paraId="54A1D1EE" w14:textId="77777777" w:rsidR="00EF3DD9" w:rsidRDefault="00EF3DD9">
          <w:r>
            <w:rPr>
              <w:b/>
              <w:bCs/>
              <w:noProof/>
            </w:rPr>
            <w:fldChar w:fldCharType="end"/>
          </w:r>
        </w:p>
      </w:sdtContent>
    </w:sdt>
    <w:p w14:paraId="54A1D1EF" w14:textId="77777777" w:rsidR="00EF3DD9" w:rsidRDefault="00EF3DD9">
      <w:pPr>
        <w:spacing w:after="200" w:line="276" w:lineRule="auto"/>
        <w:rPr>
          <w:rFonts w:cs="Arial"/>
          <w:bCs/>
        </w:rPr>
      </w:pPr>
      <w:r>
        <w:rPr>
          <w:rFonts w:cs="Arial"/>
          <w:bCs/>
        </w:rPr>
        <w:br w:type="page"/>
      </w:r>
    </w:p>
    <w:p w14:paraId="54A1D1F0" w14:textId="77777777" w:rsidR="00EF3DD9" w:rsidRPr="00EF3DD9" w:rsidRDefault="00EF3DD9" w:rsidP="00EF3DD9">
      <w:pPr>
        <w:pStyle w:val="Heading1"/>
      </w:pPr>
      <w:bookmarkStart w:id="5" w:name="_Toc387826710"/>
      <w:r w:rsidRPr="00EF3DD9">
        <w:lastRenderedPageBreak/>
        <w:t xml:space="preserve">Policy: </w:t>
      </w:r>
      <w:r w:rsidR="00631D01">
        <w:t>Accounts Receivable</w:t>
      </w:r>
      <w:bookmarkEnd w:id="5"/>
    </w:p>
    <w:p w14:paraId="54A1D1F1" w14:textId="77777777" w:rsidR="00EF3DD9" w:rsidRPr="00EF3DD9" w:rsidRDefault="00EF3DD9" w:rsidP="00EF3DD9">
      <w:pPr>
        <w:spacing w:after="200" w:line="276" w:lineRule="auto"/>
        <w:rPr>
          <w:rFonts w:cs="Arial"/>
          <w:bCs/>
        </w:rPr>
      </w:pPr>
    </w:p>
    <w:p w14:paraId="54A1D1F2" w14:textId="77777777" w:rsidR="00EF3DD9" w:rsidRPr="00AE21F5" w:rsidRDefault="00EF3DD9" w:rsidP="00670473">
      <w:pPr>
        <w:pStyle w:val="Heading2"/>
      </w:pPr>
      <w:bookmarkStart w:id="6" w:name="_Toc387826711"/>
      <w:r w:rsidRPr="00AE21F5">
        <w:t>Purpose</w:t>
      </w:r>
      <w:bookmarkEnd w:id="6"/>
    </w:p>
    <w:p w14:paraId="54A1D1F3" w14:textId="77777777" w:rsidR="00B70D51" w:rsidRDefault="00B70D51" w:rsidP="00B31B3E">
      <w:pPr>
        <w:ind w:left="709"/>
      </w:pPr>
      <w:r>
        <w:t xml:space="preserve">The purpose of this document is to outline and standardise the policy for </w:t>
      </w:r>
      <w:r w:rsidR="00F9164E">
        <w:t>the administration of accounts receivable and credit administration</w:t>
      </w:r>
      <w:r>
        <w:t>.</w:t>
      </w:r>
    </w:p>
    <w:p w14:paraId="54A1D1F4" w14:textId="77777777" w:rsidR="00B70D51" w:rsidRDefault="00B70D51" w:rsidP="00B70D51"/>
    <w:p w14:paraId="54A1D1F5" w14:textId="77777777" w:rsidR="00697E9A" w:rsidRPr="00BA2EAF" w:rsidRDefault="00697E9A" w:rsidP="00670473">
      <w:pPr>
        <w:pStyle w:val="Heading2"/>
      </w:pPr>
      <w:bookmarkStart w:id="7" w:name="_Toc387826712"/>
      <w:r w:rsidRPr="00BA2EAF">
        <w:t>Scope</w:t>
      </w:r>
      <w:bookmarkEnd w:id="7"/>
    </w:p>
    <w:p w14:paraId="54A1D1F6" w14:textId="77777777" w:rsidR="00697E9A" w:rsidRDefault="00697E9A" w:rsidP="00B31B3E">
      <w:pPr>
        <w:ind w:left="709"/>
      </w:pPr>
      <w:r>
        <w:t xml:space="preserve">The intended use of this policy is for </w:t>
      </w:r>
      <w:r w:rsidR="00744DAD">
        <w:t xml:space="preserve"> ColArt International Holdings Ltd. </w:t>
      </w:r>
      <w:r>
        <w:t>and its reporting subsidiaries.</w:t>
      </w:r>
    </w:p>
    <w:p w14:paraId="54A1D1F7" w14:textId="77777777" w:rsidR="00697E9A" w:rsidRDefault="00697E9A" w:rsidP="004468D8"/>
    <w:p w14:paraId="54A1D1F8" w14:textId="77777777" w:rsidR="00EF3DD9" w:rsidRPr="00EF3DD9" w:rsidRDefault="00EF3DD9" w:rsidP="00670473">
      <w:pPr>
        <w:pStyle w:val="Heading2"/>
      </w:pPr>
      <w:bookmarkStart w:id="8" w:name="_Toc387826713"/>
      <w:r w:rsidRPr="00EF3DD9">
        <w:t>Principles</w:t>
      </w:r>
      <w:bookmarkEnd w:id="8"/>
    </w:p>
    <w:p w14:paraId="54A1D1F9" w14:textId="77777777" w:rsidR="00F9164E" w:rsidRDefault="00F9164E" w:rsidP="00B31B3E">
      <w:pPr>
        <w:ind w:left="709"/>
        <w:rPr>
          <w:rFonts w:cs="Arial"/>
          <w:bCs/>
        </w:rPr>
      </w:pPr>
      <w:r w:rsidRPr="00315C5A">
        <w:rPr>
          <w:rFonts w:cs="Arial"/>
          <w:bCs/>
        </w:rPr>
        <w:t>The key principles of this policy are driven by management and statutory accounting requirements to ensure that:</w:t>
      </w:r>
    </w:p>
    <w:p w14:paraId="54A1D1FA" w14:textId="77777777" w:rsidR="00F9164E" w:rsidRDefault="00F9164E" w:rsidP="004468D8">
      <w:pPr>
        <w:rPr>
          <w:rFonts w:cs="Arial"/>
          <w:bCs/>
        </w:rPr>
      </w:pPr>
    </w:p>
    <w:p w14:paraId="54A1D1FB" w14:textId="77777777" w:rsidR="00F9164E" w:rsidRDefault="00F9164E" w:rsidP="00B31B3E">
      <w:pPr>
        <w:pStyle w:val="ListParagraph"/>
        <w:numPr>
          <w:ilvl w:val="0"/>
          <w:numId w:val="7"/>
        </w:numPr>
        <w:ind w:left="1134"/>
        <w:rPr>
          <w:rFonts w:cs="Arial"/>
          <w:bCs/>
        </w:rPr>
      </w:pPr>
      <w:r>
        <w:rPr>
          <w:rFonts w:cs="Arial"/>
          <w:bCs/>
        </w:rPr>
        <w:t xml:space="preserve">Appropriate credit limits are applied to support customers based on individual potential and risk profile. </w:t>
      </w:r>
    </w:p>
    <w:p w14:paraId="54A1D1FC" w14:textId="77777777" w:rsidR="00F9164E" w:rsidRDefault="00F9164E" w:rsidP="00B31B3E">
      <w:pPr>
        <w:pStyle w:val="ListParagraph"/>
        <w:numPr>
          <w:ilvl w:val="0"/>
          <w:numId w:val="7"/>
        </w:numPr>
        <w:ind w:left="1134"/>
        <w:rPr>
          <w:rFonts w:cs="Arial"/>
          <w:bCs/>
        </w:rPr>
      </w:pPr>
      <w:r>
        <w:rPr>
          <w:rFonts w:cs="Arial"/>
          <w:bCs/>
        </w:rPr>
        <w:t>Working capital optimisation is supported through building relationships between the internal team and external customers with the objective of receiving timely payments.</w:t>
      </w:r>
    </w:p>
    <w:p w14:paraId="54A1D1FD" w14:textId="77777777" w:rsidR="00F9164E" w:rsidRPr="00315C5A" w:rsidRDefault="00F9164E" w:rsidP="00B31B3E">
      <w:pPr>
        <w:pStyle w:val="ListParagraph"/>
        <w:numPr>
          <w:ilvl w:val="0"/>
          <w:numId w:val="7"/>
        </w:numPr>
        <w:ind w:left="1134"/>
        <w:rPr>
          <w:rFonts w:cs="Arial"/>
          <w:bCs/>
        </w:rPr>
      </w:pPr>
      <w:r>
        <w:rPr>
          <w:rFonts w:cs="Arial"/>
          <w:bCs/>
        </w:rPr>
        <w:t>Bad debt risks are eliminated through establishing early warning mechanisms based on customer behaviour and historical payment patterns.</w:t>
      </w:r>
    </w:p>
    <w:p w14:paraId="54A1D1FE" w14:textId="77777777" w:rsidR="00F9164E" w:rsidRDefault="00F9164E" w:rsidP="004468D8">
      <w:pPr>
        <w:rPr>
          <w:rFonts w:cs="Arial"/>
          <w:bCs/>
        </w:rPr>
      </w:pPr>
    </w:p>
    <w:p w14:paraId="54A1D1FF" w14:textId="77777777" w:rsidR="00F9164E" w:rsidRDefault="00F9164E" w:rsidP="00B31B3E">
      <w:pPr>
        <w:ind w:left="709"/>
      </w:pPr>
      <w:r>
        <w:rPr>
          <w:rFonts w:cs="Arial"/>
          <w:bCs/>
        </w:rPr>
        <w:t>We note that all the above mentioned principles affect both the profit as well as working capital</w:t>
      </w:r>
      <w:r w:rsidR="00161573">
        <w:rPr>
          <w:rFonts w:cs="Arial"/>
          <w:bCs/>
        </w:rPr>
        <w:t xml:space="preserve">, thus ultimately having a fundamental impact on the </w:t>
      </w:r>
      <w:r>
        <w:t xml:space="preserve">overall performance of the </w:t>
      </w:r>
      <w:r w:rsidR="00161573">
        <w:t>G</w:t>
      </w:r>
      <w:r>
        <w:t>roup.  Poor execution in this area create</w:t>
      </w:r>
      <w:r w:rsidR="00161573">
        <w:t>s</w:t>
      </w:r>
      <w:r>
        <w:t xml:space="preserve"> a</w:t>
      </w:r>
      <w:r w:rsidR="00161573">
        <w:t>n overall</w:t>
      </w:r>
      <w:r>
        <w:t xml:space="preserve"> risk for the business and </w:t>
      </w:r>
      <w:r w:rsidR="00161573">
        <w:t>potentially</w:t>
      </w:r>
      <w:r>
        <w:t xml:space="preserve"> adversely impact</w:t>
      </w:r>
      <w:r w:rsidR="00161573">
        <w:t xml:space="preserve"> the</w:t>
      </w:r>
      <w:r>
        <w:t xml:space="preserve"> bonus pool potential. </w:t>
      </w:r>
    </w:p>
    <w:p w14:paraId="54A1D200" w14:textId="77777777" w:rsidR="00915B5B" w:rsidRDefault="00915B5B" w:rsidP="00B31B3E">
      <w:pPr>
        <w:ind w:left="709"/>
      </w:pPr>
    </w:p>
    <w:p w14:paraId="54A1D201" w14:textId="77777777" w:rsidR="00915B5B" w:rsidRDefault="00915B5B" w:rsidP="00B31B3E">
      <w:pPr>
        <w:ind w:left="709"/>
      </w:pPr>
      <w:r>
        <w:t>Note: Any reference to “days” within this document refers to calendar days.</w:t>
      </w:r>
    </w:p>
    <w:p w14:paraId="54A1D202" w14:textId="77777777" w:rsidR="00315C5A" w:rsidRDefault="00315C5A" w:rsidP="004468D8"/>
    <w:p w14:paraId="54A1D203" w14:textId="77777777" w:rsidR="00EF3DD9" w:rsidRPr="00EF3DD9" w:rsidRDefault="00EF3DD9" w:rsidP="00670473">
      <w:pPr>
        <w:pStyle w:val="Heading2"/>
      </w:pPr>
      <w:bookmarkStart w:id="9" w:name="_Toc387826714"/>
      <w:r>
        <w:t>Policy Details</w:t>
      </w:r>
      <w:bookmarkEnd w:id="9"/>
    </w:p>
    <w:p w14:paraId="54A1D204" w14:textId="77777777" w:rsidR="00FD2C14" w:rsidRDefault="00FD2C14" w:rsidP="00FD2C14">
      <w:pPr>
        <w:pStyle w:val="Heading3"/>
        <w:numPr>
          <w:ilvl w:val="1"/>
          <w:numId w:val="6"/>
        </w:numPr>
      </w:pPr>
      <w:bookmarkStart w:id="10" w:name="_Toc387655840"/>
      <w:bookmarkStart w:id="11" w:name="_Toc387655864"/>
      <w:bookmarkStart w:id="12" w:name="_Toc387655947"/>
      <w:bookmarkStart w:id="13" w:name="_Toc387657059"/>
      <w:bookmarkStart w:id="14" w:name="_Toc387826715"/>
      <w:bookmarkEnd w:id="10"/>
      <w:bookmarkEnd w:id="11"/>
      <w:bookmarkEnd w:id="12"/>
      <w:bookmarkEnd w:id="13"/>
      <w:r>
        <w:t>Credit Limit</w:t>
      </w:r>
      <w:r w:rsidR="00150BA8">
        <w:t xml:space="preserve"> Application</w:t>
      </w:r>
      <w:bookmarkEnd w:id="14"/>
    </w:p>
    <w:p w14:paraId="54A1D205" w14:textId="77777777" w:rsidR="00FD2C14" w:rsidRPr="004468D8" w:rsidRDefault="00150BA8" w:rsidP="004468D8">
      <w:pPr>
        <w:pStyle w:val="ListParagraph"/>
        <w:numPr>
          <w:ilvl w:val="2"/>
          <w:numId w:val="6"/>
        </w:numPr>
        <w:rPr>
          <w:b/>
        </w:rPr>
      </w:pPr>
      <w:r w:rsidRPr="004468D8">
        <w:rPr>
          <w:b/>
        </w:rPr>
        <w:t>General credit</w:t>
      </w:r>
      <w:r w:rsidR="00FD2C14" w:rsidRPr="004468D8">
        <w:rPr>
          <w:b/>
        </w:rPr>
        <w:t xml:space="preserve"> and payment terms </w:t>
      </w:r>
    </w:p>
    <w:p w14:paraId="54A1D206" w14:textId="77777777" w:rsidR="00FD2C14" w:rsidRDefault="00150BA8" w:rsidP="00FD2C14">
      <w:pPr>
        <w:pStyle w:val="ListParagraph"/>
        <w:numPr>
          <w:ilvl w:val="2"/>
          <w:numId w:val="4"/>
        </w:numPr>
        <w:contextualSpacing w:val="0"/>
      </w:pPr>
      <w:r>
        <w:t>Credit is extended</w:t>
      </w:r>
      <w:r w:rsidR="00FD2C14">
        <w:t xml:space="preserve"> to credit-worthy customers to support on-going business. When a customer is in default on outstanding receivables we </w:t>
      </w:r>
      <w:r>
        <w:t xml:space="preserve">will </w:t>
      </w:r>
      <w:r w:rsidR="00FD2C14">
        <w:t xml:space="preserve">review and potentially eliminate </w:t>
      </w:r>
      <w:r>
        <w:t xml:space="preserve">the </w:t>
      </w:r>
      <w:r w:rsidR="00FD2C14">
        <w:t>credit</w:t>
      </w:r>
      <w:r>
        <w:t xml:space="preserve"> allowance</w:t>
      </w:r>
      <w:r w:rsidR="00600A0B">
        <w:t>.</w:t>
      </w:r>
    </w:p>
    <w:p w14:paraId="54A1D207" w14:textId="77777777" w:rsidR="00FD2C14" w:rsidRDefault="00FD2C14" w:rsidP="00FD2C14">
      <w:pPr>
        <w:pStyle w:val="ListParagraph"/>
        <w:numPr>
          <w:ilvl w:val="2"/>
          <w:numId w:val="4"/>
        </w:numPr>
        <w:contextualSpacing w:val="0"/>
      </w:pPr>
      <w:r>
        <w:t>We offer competitive payment terms</w:t>
      </w:r>
      <w:r w:rsidR="00150BA8">
        <w:t xml:space="preserve"> and </w:t>
      </w:r>
      <w:r>
        <w:t xml:space="preserve">as a group our objective needs to be to limit days outstanding </w:t>
      </w:r>
      <w:r w:rsidR="00600A0B">
        <w:t xml:space="preserve">and </w:t>
      </w:r>
      <w:r w:rsidR="00150BA8">
        <w:t xml:space="preserve">therefore we </w:t>
      </w:r>
      <w:r w:rsidR="00600A0B">
        <w:t>should not enter into agreements with payment days higher than customary for a particular geography.</w:t>
      </w:r>
    </w:p>
    <w:p w14:paraId="54A1D208" w14:textId="77777777" w:rsidR="00E30C7A" w:rsidRDefault="00150BA8" w:rsidP="00D11145">
      <w:pPr>
        <w:pStyle w:val="ListParagraph"/>
        <w:numPr>
          <w:ilvl w:val="2"/>
          <w:numId w:val="4"/>
        </w:numPr>
        <w:contextualSpacing w:val="0"/>
      </w:pPr>
      <w:r>
        <w:t>Contractual</w:t>
      </w:r>
      <w:r w:rsidR="00FD2C14">
        <w:t xml:space="preserve"> discounts </w:t>
      </w:r>
      <w:r w:rsidR="00600A0B">
        <w:t xml:space="preserve">for early payment should be avoided and all new agreements </w:t>
      </w:r>
      <w:r>
        <w:t xml:space="preserve">that contain </w:t>
      </w:r>
      <w:r w:rsidR="00600A0B">
        <w:t xml:space="preserve">early payment discounts </w:t>
      </w:r>
      <w:r>
        <w:t xml:space="preserve">are required </w:t>
      </w:r>
      <w:r w:rsidR="00600A0B">
        <w:t>to be approved by the respective controller</w:t>
      </w:r>
      <w:r>
        <w:t xml:space="preserve"> </w:t>
      </w:r>
      <w:r w:rsidR="00C57A5A">
        <w:t>at the time of customer set up and kept on file.</w:t>
      </w:r>
      <w:r w:rsidR="00FD2C14">
        <w:t xml:space="preserve"> </w:t>
      </w:r>
      <w:r w:rsidR="00E30C7A">
        <w:t>With consideration given to local practises, contractual discounts should be kept at an absolute minimum.</w:t>
      </w:r>
    </w:p>
    <w:p w14:paraId="54A1D209" w14:textId="77777777" w:rsidR="00FD2C14" w:rsidRPr="004468D8" w:rsidRDefault="00FD2C14" w:rsidP="004468D8">
      <w:pPr>
        <w:pStyle w:val="ListParagraph"/>
        <w:ind w:left="2160"/>
        <w:contextualSpacing w:val="0"/>
        <w:rPr>
          <w:b/>
        </w:rPr>
      </w:pPr>
    </w:p>
    <w:p w14:paraId="54A1D20A" w14:textId="77777777" w:rsidR="00E30C7A" w:rsidRPr="004468D8" w:rsidRDefault="00E30C7A" w:rsidP="004468D8">
      <w:pPr>
        <w:pStyle w:val="ListParagraph"/>
        <w:numPr>
          <w:ilvl w:val="2"/>
          <w:numId w:val="6"/>
        </w:numPr>
        <w:rPr>
          <w:b/>
        </w:rPr>
      </w:pPr>
      <w:r w:rsidRPr="004468D8">
        <w:rPr>
          <w:b/>
        </w:rPr>
        <w:t xml:space="preserve">Initial set up of </w:t>
      </w:r>
      <w:r w:rsidR="005C4873" w:rsidRPr="004468D8">
        <w:rPr>
          <w:b/>
        </w:rPr>
        <w:t>new customers</w:t>
      </w:r>
    </w:p>
    <w:p w14:paraId="54A1D20B" w14:textId="77777777" w:rsidR="00E30C7A" w:rsidRDefault="00E30C7A" w:rsidP="004468D8">
      <w:pPr>
        <w:pStyle w:val="ListParagraph"/>
        <w:ind w:left="2160"/>
      </w:pPr>
    </w:p>
    <w:p w14:paraId="54A1D20C" w14:textId="77777777" w:rsidR="00E30C7A" w:rsidRDefault="00FD2C14" w:rsidP="004468D8">
      <w:pPr>
        <w:pStyle w:val="ListParagraph"/>
        <w:numPr>
          <w:ilvl w:val="5"/>
          <w:numId w:val="4"/>
        </w:numPr>
        <w:ind w:left="2127"/>
      </w:pPr>
      <w:r>
        <w:t xml:space="preserve">The default credit limit </w:t>
      </w:r>
      <w:r w:rsidR="00E30C7A">
        <w:t xml:space="preserve">for all new customers </w:t>
      </w:r>
      <w:r>
        <w:t xml:space="preserve">should be set to 1 unit of the local currency </w:t>
      </w:r>
      <w:r w:rsidR="00E30C7A">
        <w:t xml:space="preserve">i.e. </w:t>
      </w:r>
      <w:r>
        <w:t>£, €, $ etc.</w:t>
      </w:r>
      <w:r w:rsidR="00E30C7A">
        <w:t xml:space="preserve"> </w:t>
      </w:r>
    </w:p>
    <w:p w14:paraId="54A1D20D" w14:textId="77777777" w:rsidR="005C4873" w:rsidRDefault="00FD2C14" w:rsidP="004468D8">
      <w:pPr>
        <w:pStyle w:val="ListParagraph"/>
        <w:numPr>
          <w:ilvl w:val="5"/>
          <w:numId w:val="4"/>
        </w:numPr>
        <w:ind w:left="2127"/>
      </w:pPr>
      <w:r>
        <w:t>An account can trade based on three different</w:t>
      </w:r>
      <w:r w:rsidR="00E30C7A">
        <w:t xml:space="preserve"> methods</w:t>
      </w:r>
      <w:r>
        <w:t xml:space="preserve">: </w:t>
      </w:r>
      <w:r w:rsidR="00E30C7A">
        <w:t xml:space="preserve">(1) </w:t>
      </w:r>
      <w:r>
        <w:t>“</w:t>
      </w:r>
      <w:r w:rsidR="00E30C7A">
        <w:t>O</w:t>
      </w:r>
      <w:r>
        <w:t>n account” i.e. on credit</w:t>
      </w:r>
      <w:r w:rsidR="00E30C7A">
        <w:t>; (2) A</w:t>
      </w:r>
      <w:r>
        <w:t>gainst cash in advance</w:t>
      </w:r>
      <w:r w:rsidR="005C4873">
        <w:t>; or (3) B</w:t>
      </w:r>
      <w:r>
        <w:t>ased on a letter of credit or bank guarantees.</w:t>
      </w:r>
    </w:p>
    <w:p w14:paraId="54A1D20E" w14:textId="77777777" w:rsidR="00FD2C14" w:rsidRDefault="00FD2C14" w:rsidP="004468D8">
      <w:pPr>
        <w:pStyle w:val="ListParagraph"/>
        <w:numPr>
          <w:ilvl w:val="5"/>
          <w:numId w:val="4"/>
        </w:numPr>
        <w:ind w:left="2127"/>
      </w:pPr>
      <w:r>
        <w:t>Classification of</w:t>
      </w:r>
      <w:r w:rsidR="008F16F7">
        <w:t xml:space="preserve"> customer’s</w:t>
      </w:r>
      <w:r>
        <w:t xml:space="preserve"> credit worthiness</w:t>
      </w:r>
    </w:p>
    <w:p w14:paraId="54A1D20F" w14:textId="77777777" w:rsidR="00670473" w:rsidRPr="00670473" w:rsidRDefault="00C57A5A" w:rsidP="00670473">
      <w:pPr>
        <w:pStyle w:val="Heading2"/>
        <w:numPr>
          <w:ilvl w:val="0"/>
          <w:numId w:val="29"/>
        </w:numPr>
        <w:rPr>
          <w:b w:val="0"/>
          <w:sz w:val="22"/>
          <w:szCs w:val="22"/>
        </w:rPr>
      </w:pPr>
      <w:r w:rsidRPr="00670473">
        <w:rPr>
          <w:b w:val="0"/>
          <w:sz w:val="22"/>
          <w:szCs w:val="22"/>
        </w:rPr>
        <w:t>Commercial</w:t>
      </w:r>
      <w:r w:rsidR="00FD2C14" w:rsidRPr="00670473">
        <w:rPr>
          <w:b w:val="0"/>
          <w:sz w:val="22"/>
          <w:szCs w:val="22"/>
        </w:rPr>
        <w:t xml:space="preserve"> </w:t>
      </w:r>
      <w:r w:rsidR="008F16F7" w:rsidRPr="00670473">
        <w:rPr>
          <w:b w:val="0"/>
          <w:sz w:val="22"/>
          <w:szCs w:val="22"/>
        </w:rPr>
        <w:t xml:space="preserve">teams </w:t>
      </w:r>
      <w:r w:rsidR="00EB49DD">
        <w:rPr>
          <w:b w:val="0"/>
          <w:sz w:val="22"/>
          <w:szCs w:val="22"/>
        </w:rPr>
        <w:t xml:space="preserve">requesting for a </w:t>
      </w:r>
      <w:r w:rsidR="00FD2C14" w:rsidRPr="00670473">
        <w:rPr>
          <w:b w:val="0"/>
          <w:sz w:val="22"/>
          <w:szCs w:val="22"/>
        </w:rPr>
        <w:t>credit limit</w:t>
      </w:r>
      <w:r w:rsidR="00EB49DD">
        <w:rPr>
          <w:b w:val="0"/>
          <w:sz w:val="22"/>
          <w:szCs w:val="22"/>
        </w:rPr>
        <w:t xml:space="preserve"> to be applied shall do so in written </w:t>
      </w:r>
      <w:r w:rsidRPr="00670473">
        <w:rPr>
          <w:b w:val="0"/>
          <w:sz w:val="22"/>
          <w:szCs w:val="22"/>
        </w:rPr>
        <w:t>form</w:t>
      </w:r>
      <w:r w:rsidR="00FD2C14" w:rsidRPr="00670473">
        <w:rPr>
          <w:b w:val="0"/>
          <w:sz w:val="22"/>
          <w:szCs w:val="22"/>
        </w:rPr>
        <w:t xml:space="preserve"> </w:t>
      </w:r>
      <w:r w:rsidR="008F16F7" w:rsidRPr="00670473">
        <w:rPr>
          <w:b w:val="0"/>
          <w:sz w:val="22"/>
          <w:szCs w:val="22"/>
        </w:rPr>
        <w:t>that is</w:t>
      </w:r>
      <w:r w:rsidR="00FD2C14" w:rsidRPr="00670473">
        <w:rPr>
          <w:b w:val="0"/>
          <w:sz w:val="22"/>
          <w:szCs w:val="22"/>
        </w:rPr>
        <w:t xml:space="preserve"> substantiated with </w:t>
      </w:r>
      <w:r w:rsidR="008F16F7" w:rsidRPr="00670473">
        <w:rPr>
          <w:b w:val="0"/>
          <w:sz w:val="22"/>
          <w:szCs w:val="22"/>
        </w:rPr>
        <w:t xml:space="preserve">the projected </w:t>
      </w:r>
      <w:r w:rsidR="00FD2C14" w:rsidRPr="00670473">
        <w:rPr>
          <w:b w:val="0"/>
          <w:sz w:val="22"/>
          <w:szCs w:val="22"/>
        </w:rPr>
        <w:t xml:space="preserve">sales plans. The requested credit limit needs to be </w:t>
      </w:r>
      <w:r w:rsidR="00FF3C56" w:rsidRPr="00670473">
        <w:rPr>
          <w:b w:val="0"/>
          <w:sz w:val="22"/>
          <w:szCs w:val="22"/>
        </w:rPr>
        <w:t xml:space="preserve">proportionate </w:t>
      </w:r>
      <w:r w:rsidR="00FD2C14" w:rsidRPr="00670473">
        <w:rPr>
          <w:b w:val="0"/>
          <w:sz w:val="22"/>
          <w:szCs w:val="22"/>
        </w:rPr>
        <w:t xml:space="preserve">to the overall revenue target and assumed turns.  Sales will also need to provide details on additional terms such as </w:t>
      </w:r>
      <w:r w:rsidR="00FD2C14" w:rsidRPr="00670473">
        <w:rPr>
          <w:b w:val="0"/>
          <w:color w:val="FF0000"/>
          <w:sz w:val="22"/>
          <w:szCs w:val="22"/>
        </w:rPr>
        <w:t>skonto</w:t>
      </w:r>
      <w:r w:rsidR="00FD2C14" w:rsidRPr="00670473">
        <w:rPr>
          <w:b w:val="0"/>
          <w:sz w:val="22"/>
          <w:szCs w:val="22"/>
        </w:rPr>
        <w:t>.</w:t>
      </w:r>
      <w:r w:rsidR="00EB49DD">
        <w:rPr>
          <w:b w:val="0"/>
          <w:sz w:val="22"/>
          <w:szCs w:val="22"/>
        </w:rPr>
        <w:t xml:space="preserve"> </w:t>
      </w:r>
      <w:r w:rsidR="0046258A">
        <w:rPr>
          <w:b w:val="0"/>
          <w:sz w:val="22"/>
          <w:szCs w:val="22"/>
        </w:rPr>
        <w:t xml:space="preserve">Any early payment incentives need to be approved by the unit’s General Manager. </w:t>
      </w:r>
      <w:r w:rsidR="00EB49DD">
        <w:rPr>
          <w:b w:val="0"/>
          <w:sz w:val="22"/>
          <w:szCs w:val="22"/>
        </w:rPr>
        <w:t>All documentation is to be retained and kept on file.</w:t>
      </w:r>
      <w:r w:rsidR="00FD2C14" w:rsidRPr="00670473">
        <w:rPr>
          <w:b w:val="0"/>
          <w:sz w:val="22"/>
          <w:szCs w:val="22"/>
        </w:rPr>
        <w:t xml:space="preserve"> </w:t>
      </w:r>
    </w:p>
    <w:p w14:paraId="54A1D210" w14:textId="77777777" w:rsidR="00CC65A4" w:rsidRDefault="00273E77" w:rsidP="004468D8">
      <w:pPr>
        <w:pStyle w:val="ListParagraph"/>
        <w:numPr>
          <w:ilvl w:val="0"/>
          <w:numId w:val="9"/>
        </w:numPr>
        <w:contextualSpacing w:val="0"/>
      </w:pPr>
      <w:r>
        <w:t>Credit control</w:t>
      </w:r>
      <w:r w:rsidR="00FD2C14">
        <w:t xml:space="preserve"> will check the customer’s credit rating via third</w:t>
      </w:r>
      <w:r w:rsidR="00CC65A4">
        <w:t xml:space="preserve"> </w:t>
      </w:r>
      <w:r w:rsidR="00FD2C14">
        <w:t xml:space="preserve">party </w:t>
      </w:r>
      <w:r w:rsidR="00CC65A4">
        <w:t xml:space="preserve">information available for example using </w:t>
      </w:r>
      <w:r w:rsidR="00FD2C14">
        <w:t xml:space="preserve">statutory </w:t>
      </w:r>
      <w:r w:rsidR="00CC65A4">
        <w:t xml:space="preserve">financial data </w:t>
      </w:r>
      <w:r w:rsidR="00FD2C14">
        <w:t>where available, credit rating agencies, “news check”</w:t>
      </w:r>
      <w:r w:rsidR="00CC65A4">
        <w:t xml:space="preserve"> and </w:t>
      </w:r>
      <w:r w:rsidR="00FD2C14">
        <w:t>supplier references</w:t>
      </w:r>
      <w:r w:rsidR="00CC65A4">
        <w:t xml:space="preserve"> to</w:t>
      </w:r>
      <w:r w:rsidR="00FD2C14">
        <w:t xml:space="preserve"> assess the credit limit</w:t>
      </w:r>
      <w:r w:rsidR="00CC65A4">
        <w:t xml:space="preserve"> allowance.</w:t>
      </w:r>
      <w:r w:rsidR="00CC65A4" w:rsidDel="00CC65A4">
        <w:t xml:space="preserve"> </w:t>
      </w:r>
    </w:p>
    <w:p w14:paraId="54A1D211" w14:textId="77777777" w:rsidR="00922B42" w:rsidRDefault="00600A0B" w:rsidP="004468D8">
      <w:pPr>
        <w:pStyle w:val="ListParagraph"/>
        <w:numPr>
          <w:ilvl w:val="0"/>
          <w:numId w:val="9"/>
        </w:numPr>
        <w:contextualSpacing w:val="0"/>
      </w:pPr>
      <w:r>
        <w:t>Where no information is available or i</w:t>
      </w:r>
      <w:r w:rsidR="00FD2C14">
        <w:t xml:space="preserve">n cases where Finance research generates a credit limit </w:t>
      </w:r>
      <w:r w:rsidR="00CC65A4">
        <w:t>below</w:t>
      </w:r>
      <w:r w:rsidR="00FD2C14">
        <w:t xml:space="preserve"> the </w:t>
      </w:r>
      <w:r w:rsidR="00CC65A4">
        <w:t xml:space="preserve">requested </w:t>
      </w:r>
      <w:r w:rsidR="00FD2C14">
        <w:t>credit limit</w:t>
      </w:r>
      <w:r w:rsidR="00CC65A4">
        <w:t xml:space="preserve">, both the </w:t>
      </w:r>
      <w:r w:rsidR="00FD2C14">
        <w:t xml:space="preserve">Controller and General Manager need to </w:t>
      </w:r>
      <w:r w:rsidR="00CC65A4">
        <w:t xml:space="preserve">sign off on the decision made and the final </w:t>
      </w:r>
      <w:r w:rsidR="00FD2C14">
        <w:t xml:space="preserve">credit limit </w:t>
      </w:r>
      <w:r w:rsidR="00CC65A4">
        <w:t>allowance</w:t>
      </w:r>
      <w:r w:rsidR="00FD2C14">
        <w:t>. The decision</w:t>
      </w:r>
      <w:r w:rsidR="00CC65A4">
        <w:t xml:space="preserve"> and supporting documentation</w:t>
      </w:r>
      <w:r w:rsidR="00FD2C14">
        <w:t xml:space="preserve"> will need to b</w:t>
      </w:r>
      <w:r w:rsidR="0046258A">
        <w:t>e stored with the customer file.</w:t>
      </w:r>
    </w:p>
    <w:p w14:paraId="54A1D212" w14:textId="77777777" w:rsidR="0092729F" w:rsidRDefault="0092729F" w:rsidP="004468D8">
      <w:pPr>
        <w:pStyle w:val="ListParagraph"/>
        <w:numPr>
          <w:ilvl w:val="0"/>
          <w:numId w:val="9"/>
        </w:numPr>
        <w:contextualSpacing w:val="0"/>
      </w:pPr>
      <w:r>
        <w:t xml:space="preserve">Credit Limit and terms setting: </w:t>
      </w:r>
      <w:r w:rsidRPr="00AC7629">
        <w:t xml:space="preserve">A credit limit in the system can only be set up or modified by a member of the Finance team. </w:t>
      </w:r>
      <w:r w:rsidRPr="00AC7629">
        <w:rPr>
          <w:u w:val="single"/>
        </w:rPr>
        <w:t>Where resourcing or system processes do not provide for this separation of duty it is critic</w:t>
      </w:r>
      <w:r w:rsidR="0046258A">
        <w:rPr>
          <w:u w:val="single"/>
        </w:rPr>
        <w:t>al that the appropriate authoris</w:t>
      </w:r>
      <w:r w:rsidRPr="00AC7629">
        <w:rPr>
          <w:u w:val="single"/>
        </w:rPr>
        <w:t xml:space="preserve">ation to change credit limits is </w:t>
      </w:r>
      <w:r>
        <w:rPr>
          <w:u w:val="single"/>
        </w:rPr>
        <w:t>obtained, documented and kept on file.</w:t>
      </w:r>
    </w:p>
    <w:p w14:paraId="54A1D213" w14:textId="77777777" w:rsidR="00FD2C14" w:rsidRDefault="00FD2C14" w:rsidP="004468D8">
      <w:pPr>
        <w:pStyle w:val="ListParagraph"/>
        <w:numPr>
          <w:ilvl w:val="0"/>
          <w:numId w:val="9"/>
        </w:numPr>
        <w:contextualSpacing w:val="0"/>
      </w:pPr>
      <w:r>
        <w:t>If a customer’s credit limit is not substantial enough to support underlying requested transactions a customer can either</w:t>
      </w:r>
      <w:r w:rsidR="00922B42">
        <w:t>:</w:t>
      </w:r>
    </w:p>
    <w:p w14:paraId="54A1D214" w14:textId="77777777" w:rsidR="00FD2C14" w:rsidRDefault="00FD2C14" w:rsidP="004468D8">
      <w:pPr>
        <w:pStyle w:val="ListParagraph"/>
        <w:numPr>
          <w:ilvl w:val="6"/>
          <w:numId w:val="4"/>
        </w:numPr>
        <w:ind w:left="3544"/>
        <w:contextualSpacing w:val="0"/>
      </w:pPr>
      <w:r>
        <w:t>Provide cash in advance in excess of the amount covered by the credit limit</w:t>
      </w:r>
      <w:r w:rsidR="00922B42">
        <w:t>; or</w:t>
      </w:r>
    </w:p>
    <w:p w14:paraId="54A1D215" w14:textId="77777777" w:rsidR="00FD2C14" w:rsidRDefault="00922B42" w:rsidP="004468D8">
      <w:pPr>
        <w:pStyle w:val="ListParagraph"/>
        <w:numPr>
          <w:ilvl w:val="6"/>
          <w:numId w:val="4"/>
        </w:numPr>
        <w:ind w:left="3544"/>
        <w:contextualSpacing w:val="0"/>
      </w:pPr>
      <w:r>
        <w:t>Provide</w:t>
      </w:r>
      <w:r w:rsidR="00FD2C14">
        <w:t xml:space="preserve"> a bank guarantee</w:t>
      </w:r>
      <w:r>
        <w:t xml:space="preserve"> </w:t>
      </w:r>
      <w:r w:rsidR="00FD2C14">
        <w:t>or letter</w:t>
      </w:r>
      <w:r>
        <w:t xml:space="preserve"> </w:t>
      </w:r>
      <w:r w:rsidR="00FD2C14">
        <w:t>of credit in support of the amount not covered by the bank guarantee</w:t>
      </w:r>
      <w:r>
        <w:t>.</w:t>
      </w:r>
    </w:p>
    <w:p w14:paraId="54A1D216" w14:textId="77777777" w:rsidR="00273E77" w:rsidRPr="003D22BF" w:rsidRDefault="00273E77" w:rsidP="00BA2EAF">
      <w:pPr>
        <w:pStyle w:val="ListParagraph"/>
        <w:numPr>
          <w:ilvl w:val="0"/>
          <w:numId w:val="9"/>
        </w:numPr>
        <w:contextualSpacing w:val="0"/>
      </w:pPr>
      <w:r w:rsidRPr="00744DAD">
        <w:rPr>
          <w:u w:val="single"/>
        </w:rPr>
        <w:t>New</w:t>
      </w:r>
      <w:r w:rsidRPr="003D22BF">
        <w:t xml:space="preserve"> customer </w:t>
      </w:r>
      <w:r w:rsidR="00744DAD">
        <w:t xml:space="preserve">credit </w:t>
      </w:r>
      <w:r w:rsidRPr="003D22BF">
        <w:t xml:space="preserve">limits </w:t>
      </w:r>
      <w:r w:rsidR="003D22BF" w:rsidRPr="003D22BF">
        <w:t>exceeding</w:t>
      </w:r>
      <w:r w:rsidRPr="003D22BF">
        <w:t xml:space="preserve"> £50,000 </w:t>
      </w:r>
      <w:r w:rsidR="00744DAD">
        <w:t>should</w:t>
      </w:r>
      <w:r w:rsidRPr="003D22BF">
        <w:t xml:space="preserve"> be approved the C</w:t>
      </w:r>
      <w:r w:rsidR="003D22BF">
        <w:t xml:space="preserve">hief </w:t>
      </w:r>
      <w:r w:rsidRPr="003D22BF">
        <w:t>F</w:t>
      </w:r>
      <w:r w:rsidR="003D22BF">
        <w:t xml:space="preserve">inancial </w:t>
      </w:r>
      <w:r w:rsidRPr="003D22BF">
        <w:t>O</w:t>
      </w:r>
      <w:r w:rsidR="003D22BF">
        <w:t>fficer</w:t>
      </w:r>
      <w:r w:rsidRPr="003D22BF">
        <w:t xml:space="preserve"> and </w:t>
      </w:r>
      <w:r w:rsidR="003D22BF">
        <w:t>the Chief Commercial Officer</w:t>
      </w:r>
      <w:r w:rsidRPr="003D22BF">
        <w:t xml:space="preserve">. </w:t>
      </w:r>
    </w:p>
    <w:p w14:paraId="54A1D217" w14:textId="77777777" w:rsidR="00922B42" w:rsidRDefault="00922B42" w:rsidP="004468D8">
      <w:pPr>
        <w:pStyle w:val="ListParagraph"/>
        <w:ind w:left="3544"/>
        <w:contextualSpacing w:val="0"/>
      </w:pPr>
    </w:p>
    <w:p w14:paraId="54A1D218" w14:textId="77777777" w:rsidR="00922B42" w:rsidRPr="004468D8" w:rsidRDefault="00FD2C14" w:rsidP="004468D8">
      <w:pPr>
        <w:pStyle w:val="ListParagraph"/>
        <w:numPr>
          <w:ilvl w:val="2"/>
          <w:numId w:val="6"/>
        </w:numPr>
        <w:rPr>
          <w:b/>
        </w:rPr>
      </w:pPr>
      <w:r w:rsidRPr="004468D8">
        <w:rPr>
          <w:b/>
        </w:rPr>
        <w:t>Periodic review of credit limits</w:t>
      </w:r>
    </w:p>
    <w:p w14:paraId="54A1D219" w14:textId="77777777" w:rsidR="00922B42" w:rsidRDefault="00922B42" w:rsidP="004468D8">
      <w:pPr>
        <w:pStyle w:val="ListParagraph"/>
        <w:ind w:left="2160"/>
      </w:pPr>
      <w:r>
        <w:t>C</w:t>
      </w:r>
      <w:r w:rsidR="00FD2C14" w:rsidRPr="00922B42">
        <w:t>redit limits for all customers need to be reviewed an annual basis</w:t>
      </w:r>
      <w:r w:rsidR="00121721">
        <w:t xml:space="preserve"> at a minimum</w:t>
      </w:r>
      <w:r>
        <w:t xml:space="preserve">. </w:t>
      </w:r>
      <w:r w:rsidRPr="0092729F">
        <w:rPr>
          <w:u w:val="single"/>
        </w:rPr>
        <w:t xml:space="preserve">All </w:t>
      </w:r>
      <w:r w:rsidR="00FD2C14" w:rsidRPr="0092729F">
        <w:rPr>
          <w:u w:val="single"/>
        </w:rPr>
        <w:t>review</w:t>
      </w:r>
      <w:r w:rsidRPr="0092729F">
        <w:rPr>
          <w:u w:val="single"/>
        </w:rPr>
        <w:t xml:space="preserve">s and authorisations are to be performed by the General Manager and the Finance Controller and documented via </w:t>
      </w:r>
      <w:r w:rsidR="00FD2C14" w:rsidRPr="0092729F">
        <w:rPr>
          <w:u w:val="single"/>
        </w:rPr>
        <w:t>formal sign</w:t>
      </w:r>
      <w:r w:rsidRPr="0092729F">
        <w:rPr>
          <w:u w:val="single"/>
        </w:rPr>
        <w:t xml:space="preserve"> </w:t>
      </w:r>
      <w:r w:rsidR="00FD2C14" w:rsidRPr="00DA2103">
        <w:rPr>
          <w:u w:val="single"/>
        </w:rPr>
        <w:t>off</w:t>
      </w:r>
      <w:r w:rsidRPr="00DA2103">
        <w:rPr>
          <w:u w:val="single"/>
        </w:rPr>
        <w:t>.</w:t>
      </w:r>
    </w:p>
    <w:p w14:paraId="54A1D21A" w14:textId="77777777" w:rsidR="00922B42" w:rsidRDefault="00922B42" w:rsidP="004468D8">
      <w:pPr>
        <w:pStyle w:val="ListParagraph"/>
        <w:ind w:left="2160"/>
      </w:pPr>
    </w:p>
    <w:p w14:paraId="54A1D21B" w14:textId="77777777" w:rsidR="00121721" w:rsidRDefault="00121721" w:rsidP="004468D8">
      <w:pPr>
        <w:pStyle w:val="ListParagraph"/>
        <w:numPr>
          <w:ilvl w:val="0"/>
          <w:numId w:val="10"/>
        </w:numPr>
        <w:ind w:left="2127" w:hanging="142"/>
        <w:contextualSpacing w:val="0"/>
      </w:pPr>
      <w:r>
        <w:t>T</w:t>
      </w:r>
      <w:r w:rsidR="00FD2C14">
        <w:t xml:space="preserve">he annual review needs to include </w:t>
      </w:r>
      <w:r>
        <w:t>prior year</w:t>
      </w:r>
      <w:r w:rsidR="00FD2C14">
        <w:t xml:space="preserve"> performance on receivables including</w:t>
      </w:r>
      <w:r>
        <w:t xml:space="preserve">: (1) An </w:t>
      </w:r>
      <w:r w:rsidR="00FD2C14">
        <w:t>assessment of timely payment</w:t>
      </w:r>
      <w:r>
        <w:t xml:space="preserve">; (2) Prior year sales; (3) Current year forecasted sales; (4) Current year credit limit; and (5) Any other relevant information </w:t>
      </w:r>
      <w:r w:rsidR="00FD2C14">
        <w:t>such as new store openings</w:t>
      </w:r>
      <w:r>
        <w:t xml:space="preserve"> etc</w:t>
      </w:r>
      <w:r w:rsidR="00FD2C14">
        <w:t>.</w:t>
      </w:r>
    </w:p>
    <w:p w14:paraId="54A1D21C" w14:textId="77777777" w:rsidR="00FD2C14" w:rsidRDefault="00121721" w:rsidP="004468D8">
      <w:pPr>
        <w:pStyle w:val="ListParagraph"/>
        <w:ind w:left="2127"/>
        <w:contextualSpacing w:val="0"/>
      </w:pPr>
      <w:r w:rsidRPr="0092729F">
        <w:rPr>
          <w:b/>
        </w:rPr>
        <w:lastRenderedPageBreak/>
        <w:t>Note:</w:t>
      </w:r>
      <w:r>
        <w:t xml:space="preserve"> S</w:t>
      </w:r>
      <w:r w:rsidR="00FD2C14">
        <w:t>ome customers may drive season</w:t>
      </w:r>
      <w:r>
        <w:t>al</w:t>
      </w:r>
      <w:r w:rsidR="00FD2C14">
        <w:t xml:space="preserve"> sales</w:t>
      </w:r>
      <w:r>
        <w:t xml:space="preserve"> and</w:t>
      </w:r>
      <w:r w:rsidR="00FD2C14">
        <w:t xml:space="preserve"> in such cases temporary credit limits </w:t>
      </w:r>
      <w:r>
        <w:t>may be allowed</w:t>
      </w:r>
      <w:r w:rsidR="00FD2C14">
        <w:t xml:space="preserve"> to avoid over-exposure during months when the customer </w:t>
      </w:r>
      <w:r>
        <w:t>may experience</w:t>
      </w:r>
      <w:r w:rsidR="00FD2C14">
        <w:t xml:space="preserve"> low commercial activity. </w:t>
      </w:r>
    </w:p>
    <w:p w14:paraId="54A1D21D" w14:textId="77777777" w:rsidR="00FD2C14" w:rsidRDefault="00FD2C14" w:rsidP="004468D8">
      <w:pPr>
        <w:pStyle w:val="ListParagraph"/>
        <w:numPr>
          <w:ilvl w:val="0"/>
          <w:numId w:val="10"/>
        </w:numPr>
        <w:ind w:left="2127" w:hanging="142"/>
        <w:contextualSpacing w:val="0"/>
      </w:pPr>
      <w:r>
        <w:t xml:space="preserve">As part of this review an assessment needs to be made on whether to adjust the credit limit up or down. If revenues for a customer are forecasted to decrease for example, the credit limit should be reduced relative to the prior year.  Credit limits for customers with no planned business should be set </w:t>
      </w:r>
      <w:r w:rsidR="00FF3C56">
        <w:t xml:space="preserve">to </w:t>
      </w:r>
      <w:r>
        <w:t xml:space="preserve">zero. </w:t>
      </w:r>
    </w:p>
    <w:p w14:paraId="54A1D21E" w14:textId="77777777" w:rsidR="00FD2C14" w:rsidRDefault="00121721" w:rsidP="004468D8">
      <w:pPr>
        <w:pStyle w:val="ListParagraph"/>
        <w:numPr>
          <w:ilvl w:val="0"/>
          <w:numId w:val="10"/>
        </w:numPr>
        <w:ind w:left="2127" w:hanging="142"/>
        <w:contextualSpacing w:val="0"/>
      </w:pPr>
      <w:r>
        <w:t>This</w:t>
      </w:r>
      <w:r w:rsidR="00FD2C14">
        <w:t xml:space="preserve"> type of review should ideally be part of </w:t>
      </w:r>
      <w:r>
        <w:t>the</w:t>
      </w:r>
      <w:r w:rsidR="00FD2C14">
        <w:t xml:space="preserve"> business review process </w:t>
      </w:r>
      <w:r>
        <w:t xml:space="preserve">in order to </w:t>
      </w:r>
      <w:r w:rsidR="00FD2C14">
        <w:t xml:space="preserve">build </w:t>
      </w:r>
      <w:r>
        <w:t xml:space="preserve">upon </w:t>
      </w:r>
      <w:r w:rsidR="00FD2C14">
        <w:t xml:space="preserve">foresights, such as credit issues with customers who aren’t driving the business into the overall commercial planning process. </w:t>
      </w:r>
    </w:p>
    <w:p w14:paraId="54A1D21F" w14:textId="77777777" w:rsidR="00FD2C14" w:rsidRDefault="00935507" w:rsidP="004468D8">
      <w:pPr>
        <w:pStyle w:val="ListParagraph"/>
        <w:numPr>
          <w:ilvl w:val="0"/>
          <w:numId w:val="10"/>
        </w:numPr>
        <w:ind w:left="2127" w:hanging="142"/>
        <w:contextualSpacing w:val="0"/>
      </w:pPr>
      <w:r>
        <w:t xml:space="preserve">In the case of a </w:t>
      </w:r>
      <w:r w:rsidR="00FD2C14">
        <w:t>“</w:t>
      </w:r>
      <w:r w:rsidRPr="007B76B8">
        <w:rPr>
          <w:b/>
        </w:rPr>
        <w:t>t</w:t>
      </w:r>
      <w:r w:rsidR="00FD2C14" w:rsidRPr="007B76B8">
        <w:rPr>
          <w:b/>
        </w:rPr>
        <w:t>rigger event</w:t>
      </w:r>
      <w:r>
        <w:t xml:space="preserve">”, </w:t>
      </w:r>
      <w:r w:rsidR="00FD2C14">
        <w:t xml:space="preserve">credit limit </w:t>
      </w:r>
      <w:r>
        <w:t>review is required when either:</w:t>
      </w:r>
    </w:p>
    <w:p w14:paraId="54A1D220" w14:textId="77777777" w:rsidR="00FD2C14" w:rsidRDefault="00FD2C14" w:rsidP="004468D8">
      <w:pPr>
        <w:pStyle w:val="ListParagraph"/>
        <w:numPr>
          <w:ilvl w:val="0"/>
          <w:numId w:val="11"/>
        </w:numPr>
        <w:ind w:left="2694"/>
      </w:pPr>
      <w:r>
        <w:t xml:space="preserve">Sales requests </w:t>
      </w:r>
      <w:r w:rsidR="00935507">
        <w:t>for an increased credit limit and</w:t>
      </w:r>
      <w:r>
        <w:t xml:space="preserve"> outside records do not substantiate an increase</w:t>
      </w:r>
      <w:r w:rsidR="00935507">
        <w:t xml:space="preserve">. In such cases, both </w:t>
      </w:r>
      <w:r>
        <w:t xml:space="preserve">the </w:t>
      </w:r>
      <w:r w:rsidR="00935507">
        <w:t>G</w:t>
      </w:r>
      <w:r>
        <w:t xml:space="preserve">eneral </w:t>
      </w:r>
      <w:r w:rsidR="00935507">
        <w:t>M</w:t>
      </w:r>
      <w:r>
        <w:t xml:space="preserve">anager </w:t>
      </w:r>
      <w:r w:rsidR="00935507">
        <w:t>and</w:t>
      </w:r>
      <w:r>
        <w:t xml:space="preserve"> the Finance Controller </w:t>
      </w:r>
      <w:r w:rsidR="00935507">
        <w:t xml:space="preserve">will </w:t>
      </w:r>
      <w:r>
        <w:t>need to sign off and approve the highe</w:t>
      </w:r>
      <w:r w:rsidR="00935507">
        <w:t xml:space="preserve">r </w:t>
      </w:r>
      <w:r>
        <w:t>unsecured limit</w:t>
      </w:r>
      <w:r w:rsidR="00935507">
        <w:t>; or</w:t>
      </w:r>
    </w:p>
    <w:p w14:paraId="54A1D221" w14:textId="77777777" w:rsidR="00FD2C14" w:rsidRDefault="00FD2C14" w:rsidP="004468D8">
      <w:pPr>
        <w:pStyle w:val="ListParagraph"/>
        <w:numPr>
          <w:ilvl w:val="0"/>
          <w:numId w:val="11"/>
        </w:numPr>
        <w:ind w:left="2694"/>
        <w:contextualSpacing w:val="0"/>
      </w:pPr>
      <w:r>
        <w:t>A customer goes 15 days over</w:t>
      </w:r>
      <w:r w:rsidR="00377BCE">
        <w:t>due</w:t>
      </w:r>
      <w:r>
        <w:t xml:space="preserve"> (see below)</w:t>
      </w:r>
    </w:p>
    <w:p w14:paraId="54A1D222" w14:textId="77777777" w:rsidR="00AF0754" w:rsidRDefault="00AF0754" w:rsidP="004468D8">
      <w:pPr>
        <w:pStyle w:val="ListParagraph"/>
        <w:ind w:left="2694"/>
        <w:contextualSpacing w:val="0"/>
      </w:pPr>
    </w:p>
    <w:p w14:paraId="54A1D223" w14:textId="77777777" w:rsidR="00FD2C14" w:rsidRPr="004468D8" w:rsidRDefault="00FD2C14" w:rsidP="004468D8">
      <w:pPr>
        <w:pStyle w:val="ListParagraph"/>
        <w:numPr>
          <w:ilvl w:val="2"/>
          <w:numId w:val="6"/>
        </w:numPr>
        <w:rPr>
          <w:b/>
        </w:rPr>
      </w:pPr>
      <w:r w:rsidRPr="004468D8">
        <w:rPr>
          <w:b/>
        </w:rPr>
        <w:t>Internal customer rating</w:t>
      </w:r>
    </w:p>
    <w:p w14:paraId="54A1D224" w14:textId="77777777" w:rsidR="00DC213E" w:rsidRDefault="00DC213E" w:rsidP="004468D8">
      <w:pPr>
        <w:pStyle w:val="ListParagraph"/>
        <w:ind w:left="2160"/>
        <w:contextualSpacing w:val="0"/>
      </w:pPr>
      <w:r>
        <w:t>As part of any review the following metrics</w:t>
      </w:r>
      <w:r w:rsidR="00AF0754">
        <w:t xml:space="preserve"> and factors are required </w:t>
      </w:r>
      <w:r>
        <w:t>to be reviewed</w:t>
      </w:r>
      <w:r w:rsidR="00AF0754">
        <w:t>:</w:t>
      </w:r>
    </w:p>
    <w:p w14:paraId="54A1D225" w14:textId="77777777" w:rsidR="00DC213E" w:rsidRDefault="00DC213E" w:rsidP="004468D8">
      <w:pPr>
        <w:pStyle w:val="ListParagraph"/>
        <w:numPr>
          <w:ilvl w:val="0"/>
          <w:numId w:val="12"/>
        </w:numPr>
        <w:ind w:left="2694"/>
      </w:pPr>
      <w:r>
        <w:t xml:space="preserve">Revenue over last 18 </w:t>
      </w:r>
      <w:r w:rsidR="00AC7629">
        <w:t>months</w:t>
      </w:r>
    </w:p>
    <w:p w14:paraId="54A1D226" w14:textId="77777777" w:rsidR="00DC213E" w:rsidRDefault="00DC213E" w:rsidP="004468D8">
      <w:pPr>
        <w:pStyle w:val="ListParagraph"/>
        <w:numPr>
          <w:ilvl w:val="0"/>
          <w:numId w:val="12"/>
        </w:numPr>
        <w:ind w:left="2694"/>
      </w:pPr>
      <w:r>
        <w:t>Total receivables balance over last 18 months</w:t>
      </w:r>
    </w:p>
    <w:p w14:paraId="54A1D227" w14:textId="77777777" w:rsidR="00DC213E" w:rsidRDefault="00AC7629" w:rsidP="004468D8">
      <w:pPr>
        <w:pStyle w:val="ListParagraph"/>
        <w:numPr>
          <w:ilvl w:val="0"/>
          <w:numId w:val="12"/>
        </w:numPr>
        <w:ind w:left="2694"/>
      </w:pPr>
      <w:r>
        <w:t>Overdue</w:t>
      </w:r>
      <w:r w:rsidR="00AF0754">
        <w:t xml:space="preserve"> balances</w:t>
      </w:r>
      <w:r w:rsidR="00DC213E">
        <w:t xml:space="preserve"> </w:t>
      </w:r>
      <w:r w:rsidR="0038202D">
        <w:t xml:space="preserve">&lt;3 days, &lt;8 days, </w:t>
      </w:r>
      <w:r w:rsidR="00DC213E">
        <w:t>&lt;15</w:t>
      </w:r>
      <w:r w:rsidR="00AF0754">
        <w:t xml:space="preserve"> days</w:t>
      </w:r>
      <w:r w:rsidR="00DC213E">
        <w:t>, &lt;30</w:t>
      </w:r>
      <w:r w:rsidR="00AF0754">
        <w:t xml:space="preserve"> days</w:t>
      </w:r>
      <w:r w:rsidR="00DC213E">
        <w:t xml:space="preserve">, &gt;30 </w:t>
      </w:r>
      <w:r w:rsidR="00AF0754">
        <w:t>days</w:t>
      </w:r>
      <w:r w:rsidR="0038202D">
        <w:t xml:space="preserve"> </w:t>
      </w:r>
      <w:r w:rsidR="00DC213E">
        <w:t xml:space="preserve">over </w:t>
      </w:r>
      <w:r w:rsidR="00377BCE">
        <w:t xml:space="preserve">the </w:t>
      </w:r>
      <w:r w:rsidR="00DC213E">
        <w:t>last 18 months</w:t>
      </w:r>
    </w:p>
    <w:p w14:paraId="54A1D228" w14:textId="77777777" w:rsidR="00DC213E" w:rsidRDefault="00DC213E" w:rsidP="004468D8">
      <w:pPr>
        <w:pStyle w:val="ListParagraph"/>
        <w:numPr>
          <w:ilvl w:val="0"/>
          <w:numId w:val="12"/>
        </w:numPr>
        <w:ind w:left="2694"/>
      </w:pPr>
      <w:r>
        <w:t>A qualitative assessment of the customer’s payment behaviour</w:t>
      </w:r>
    </w:p>
    <w:p w14:paraId="54A1D229" w14:textId="77777777" w:rsidR="00FD2C14" w:rsidRDefault="00AF0754" w:rsidP="004468D8">
      <w:pPr>
        <w:pStyle w:val="ListParagraph"/>
        <w:numPr>
          <w:ilvl w:val="0"/>
          <w:numId w:val="12"/>
        </w:numPr>
        <w:ind w:left="2694"/>
      </w:pPr>
      <w:r>
        <w:t xml:space="preserve">Any other relevant </w:t>
      </w:r>
      <w:r w:rsidR="00DC213E">
        <w:t xml:space="preserve">external information </w:t>
      </w:r>
      <w:r w:rsidR="00AC7629">
        <w:t>where available</w:t>
      </w:r>
    </w:p>
    <w:p w14:paraId="54A1D22A" w14:textId="77777777" w:rsidR="00AF0754" w:rsidRDefault="00AF0754" w:rsidP="004468D8">
      <w:pPr>
        <w:pStyle w:val="ListParagraph"/>
        <w:ind w:left="2694"/>
      </w:pPr>
    </w:p>
    <w:p w14:paraId="54A1D22B" w14:textId="77777777" w:rsidR="00FD2C14" w:rsidRPr="004468D8" w:rsidRDefault="00FD2C14" w:rsidP="004468D8">
      <w:pPr>
        <w:pStyle w:val="ListParagraph"/>
        <w:numPr>
          <w:ilvl w:val="2"/>
          <w:numId w:val="6"/>
        </w:numPr>
        <w:contextualSpacing w:val="0"/>
        <w:rPr>
          <w:b/>
        </w:rPr>
      </w:pPr>
      <w:r w:rsidRPr="004468D8">
        <w:rPr>
          <w:b/>
        </w:rPr>
        <w:t>Credit Insurance</w:t>
      </w:r>
    </w:p>
    <w:p w14:paraId="54A1D22C" w14:textId="77777777" w:rsidR="00AF0754" w:rsidRDefault="00793969" w:rsidP="004468D8">
      <w:pPr>
        <w:pStyle w:val="ListParagraph"/>
        <w:numPr>
          <w:ilvl w:val="0"/>
          <w:numId w:val="16"/>
        </w:numPr>
        <w:ind w:left="2127" w:hanging="147"/>
        <w:contextualSpacing w:val="0"/>
      </w:pPr>
      <w:r>
        <w:t>Local</w:t>
      </w:r>
      <w:r w:rsidR="00FD2C14">
        <w:t xml:space="preserve"> controllers should investigate the availability of credit insurance. </w:t>
      </w:r>
    </w:p>
    <w:p w14:paraId="54A1D22D" w14:textId="77777777" w:rsidR="00AF0754" w:rsidRDefault="00FD2C14" w:rsidP="004468D8">
      <w:pPr>
        <w:pStyle w:val="ListParagraph"/>
        <w:numPr>
          <w:ilvl w:val="0"/>
          <w:numId w:val="16"/>
        </w:numPr>
        <w:ind w:left="2127" w:hanging="147"/>
        <w:contextualSpacing w:val="0"/>
      </w:pPr>
      <w:r>
        <w:t xml:space="preserve">Entering into credit insurance is permissible and encouraged as long as the commercial cost of the insurance is </w:t>
      </w:r>
      <w:r w:rsidR="00793969">
        <w:t xml:space="preserve">viable when compared against </w:t>
      </w:r>
      <w:r>
        <w:t>the risk</w:t>
      </w:r>
      <w:r w:rsidR="00793969">
        <w:t xml:space="preserve"> </w:t>
      </w:r>
      <w:r>
        <w:t xml:space="preserve">being </w:t>
      </w:r>
      <w:r w:rsidR="00793969">
        <w:t>covered</w:t>
      </w:r>
      <w:r>
        <w:t xml:space="preserve">. </w:t>
      </w:r>
    </w:p>
    <w:p w14:paraId="54A1D22E" w14:textId="77777777" w:rsidR="00FD2C14" w:rsidRDefault="00793969" w:rsidP="004468D8">
      <w:pPr>
        <w:pStyle w:val="ListParagraph"/>
        <w:numPr>
          <w:ilvl w:val="0"/>
          <w:numId w:val="16"/>
        </w:numPr>
        <w:ind w:left="2127" w:hanging="147"/>
        <w:contextualSpacing w:val="0"/>
      </w:pPr>
      <w:r>
        <w:t xml:space="preserve">Contact </w:t>
      </w:r>
      <w:r w:rsidR="00FD2C14">
        <w:t xml:space="preserve">Group Finance for </w:t>
      </w:r>
      <w:r>
        <w:t>further guidance if required.</w:t>
      </w:r>
    </w:p>
    <w:p w14:paraId="54A1D22F" w14:textId="77777777" w:rsidR="00FD2C14" w:rsidRDefault="00FD2C14" w:rsidP="00FD2C14">
      <w:pPr>
        <w:pStyle w:val="ListParagraph"/>
      </w:pPr>
    </w:p>
    <w:p w14:paraId="54A1D230" w14:textId="77777777" w:rsidR="00FD2C14" w:rsidRDefault="00FD2C14" w:rsidP="00AF0754">
      <w:pPr>
        <w:pStyle w:val="Heading3"/>
        <w:numPr>
          <w:ilvl w:val="1"/>
          <w:numId w:val="6"/>
        </w:numPr>
      </w:pPr>
      <w:bookmarkStart w:id="15" w:name="_Toc387826716"/>
      <w:r>
        <w:t>Accounts Receivable Management</w:t>
      </w:r>
      <w:bookmarkEnd w:id="15"/>
      <w:r>
        <w:t xml:space="preserve"> </w:t>
      </w:r>
    </w:p>
    <w:p w14:paraId="54A1D231" w14:textId="77777777" w:rsidR="00FD2C14" w:rsidRPr="004468D8" w:rsidRDefault="00FD2C14" w:rsidP="004468D8">
      <w:pPr>
        <w:pStyle w:val="ListParagraph"/>
        <w:numPr>
          <w:ilvl w:val="2"/>
          <w:numId w:val="6"/>
        </w:numPr>
        <w:rPr>
          <w:b/>
        </w:rPr>
      </w:pPr>
      <w:r w:rsidRPr="004468D8">
        <w:rPr>
          <w:b/>
        </w:rPr>
        <w:t>Payment</w:t>
      </w:r>
      <w:r w:rsidR="008D7C27">
        <w:rPr>
          <w:b/>
        </w:rPr>
        <w:t xml:space="preserve"> and n</w:t>
      </w:r>
      <w:r w:rsidRPr="004468D8">
        <w:rPr>
          <w:b/>
        </w:rPr>
        <w:t>etting</w:t>
      </w:r>
    </w:p>
    <w:p w14:paraId="54A1D232" w14:textId="77777777" w:rsidR="008D7C27" w:rsidRDefault="00FD2C14" w:rsidP="004468D8">
      <w:pPr>
        <w:pStyle w:val="ListParagraph"/>
        <w:numPr>
          <w:ilvl w:val="0"/>
          <w:numId w:val="18"/>
        </w:numPr>
        <w:ind w:left="2127" w:hanging="284"/>
      </w:pPr>
      <w:r>
        <w:t xml:space="preserve">Payment – </w:t>
      </w:r>
      <w:r w:rsidR="008D7C27">
        <w:t>All payments</w:t>
      </w:r>
      <w:r>
        <w:t xml:space="preserve"> should be made via bank transfer</w:t>
      </w:r>
      <w:r w:rsidR="008D7C27">
        <w:t>.</w:t>
      </w:r>
      <w:r>
        <w:t xml:space="preserve"> </w:t>
      </w:r>
      <w:r w:rsidR="008D7C27">
        <w:t>C</w:t>
      </w:r>
      <w:r>
        <w:t>he</w:t>
      </w:r>
      <w:r w:rsidR="008D7C27">
        <w:t>que</w:t>
      </w:r>
      <w:r>
        <w:t xml:space="preserve"> payments should not </w:t>
      </w:r>
      <w:r w:rsidR="00AC7629">
        <w:t xml:space="preserve">be </w:t>
      </w:r>
      <w:r>
        <w:t>accept</w:t>
      </w:r>
      <w:r w:rsidR="00AC7629">
        <w:t>ed</w:t>
      </w:r>
      <w:r w:rsidR="0073392A">
        <w:t xml:space="preserve"> and customers should actively be discouraged from using </w:t>
      </w:r>
      <w:r w:rsidR="008D7C27">
        <w:t>cheques. Where the need is identified, terms</w:t>
      </w:r>
      <w:r w:rsidR="00AC7629">
        <w:t xml:space="preserve"> and conditions </w:t>
      </w:r>
      <w:r w:rsidR="008D7C27">
        <w:t>are required to be updated to</w:t>
      </w:r>
      <w:r w:rsidR="00AC7629">
        <w:t xml:space="preserve"> enable ColArt to charge a service fee for </w:t>
      </w:r>
      <w:r w:rsidR="008D7C27">
        <w:t xml:space="preserve">any </w:t>
      </w:r>
      <w:r w:rsidR="00AC7629">
        <w:t>payment</w:t>
      </w:r>
      <w:r w:rsidR="008D7C27">
        <w:t>s made</w:t>
      </w:r>
      <w:r w:rsidR="00AC7629">
        <w:t xml:space="preserve"> by </w:t>
      </w:r>
      <w:r w:rsidR="008D7C27">
        <w:t>cheques. Note that t</w:t>
      </w:r>
      <w:r w:rsidR="00AC7629">
        <w:t>his fee</w:t>
      </w:r>
      <w:r>
        <w:t xml:space="preserve"> should be book</w:t>
      </w:r>
      <w:r w:rsidR="00AC7629">
        <w:t>ed into “Other Income”.</w:t>
      </w:r>
    </w:p>
    <w:p w14:paraId="54A1D233" w14:textId="77777777" w:rsidR="00FD2C14" w:rsidRDefault="00FD2C14" w:rsidP="004468D8">
      <w:pPr>
        <w:pStyle w:val="ListParagraph"/>
        <w:numPr>
          <w:ilvl w:val="0"/>
          <w:numId w:val="18"/>
        </w:numPr>
        <w:ind w:left="2127" w:hanging="284"/>
      </w:pPr>
      <w:r>
        <w:t>Netting</w:t>
      </w:r>
      <w:r>
        <w:tab/>
        <w:t xml:space="preserve">- </w:t>
      </w:r>
      <w:r w:rsidR="008D7C27">
        <w:t>W</w:t>
      </w:r>
      <w:r>
        <w:t>hen ColArt issues credit notes to compensate a customer for back-end obligations or</w:t>
      </w:r>
      <w:r w:rsidR="001921E3">
        <w:t xml:space="preserve"> </w:t>
      </w:r>
      <w:r>
        <w:t>defective</w:t>
      </w:r>
      <w:r w:rsidR="001921E3">
        <w:t xml:space="preserve"> </w:t>
      </w:r>
      <w:r>
        <w:t xml:space="preserve">returns, these should be netted against existing receivables in </w:t>
      </w:r>
      <w:r w:rsidR="001921E3">
        <w:t xml:space="preserve">line </w:t>
      </w:r>
      <w:r>
        <w:t xml:space="preserve">with the customer. </w:t>
      </w:r>
      <w:r w:rsidR="00140CF0">
        <w:t xml:space="preserve"> The resulting payable should be netted against receivable. </w:t>
      </w:r>
    </w:p>
    <w:p w14:paraId="54A1D234" w14:textId="77777777" w:rsidR="00540426" w:rsidRDefault="00540426" w:rsidP="004468D8">
      <w:pPr>
        <w:pStyle w:val="ListParagraph"/>
        <w:ind w:left="2127"/>
      </w:pPr>
    </w:p>
    <w:p w14:paraId="54A1D235" w14:textId="77777777" w:rsidR="00FD2C14" w:rsidRPr="004468D8" w:rsidRDefault="00FD2C14" w:rsidP="004468D8">
      <w:pPr>
        <w:pStyle w:val="ListParagraph"/>
        <w:numPr>
          <w:ilvl w:val="2"/>
          <w:numId w:val="6"/>
        </w:numPr>
        <w:contextualSpacing w:val="0"/>
        <w:rPr>
          <w:b/>
        </w:rPr>
      </w:pPr>
      <w:r w:rsidRPr="004468D8">
        <w:rPr>
          <w:b/>
        </w:rPr>
        <w:t>Communication</w:t>
      </w:r>
    </w:p>
    <w:p w14:paraId="54A1D236" w14:textId="77777777" w:rsidR="00FD2C14" w:rsidRDefault="00FD2C14" w:rsidP="004468D8">
      <w:pPr>
        <w:pStyle w:val="ListParagraph"/>
        <w:numPr>
          <w:ilvl w:val="0"/>
          <w:numId w:val="19"/>
        </w:numPr>
        <w:ind w:left="2127" w:hanging="284"/>
        <w:contextualSpacing w:val="0"/>
      </w:pPr>
      <w:r>
        <w:t xml:space="preserve">Customer communication: </w:t>
      </w:r>
    </w:p>
    <w:p w14:paraId="54A1D237" w14:textId="77777777" w:rsidR="00FD2C14" w:rsidRDefault="00FD2C14" w:rsidP="004468D8">
      <w:pPr>
        <w:pStyle w:val="ListParagraph"/>
        <w:numPr>
          <w:ilvl w:val="0"/>
          <w:numId w:val="20"/>
        </w:numPr>
        <w:ind w:left="2694"/>
        <w:contextualSpacing w:val="0"/>
      </w:pPr>
      <w:r>
        <w:lastRenderedPageBreak/>
        <w:t xml:space="preserve">Credit Limit: Any decisions around credit limits needs to be communicated to both the sales </w:t>
      </w:r>
      <w:r w:rsidR="00AC7629">
        <w:t>person in charge of the account and customer service</w:t>
      </w:r>
      <w:r w:rsidR="00482664">
        <w:t>.</w:t>
      </w:r>
    </w:p>
    <w:p w14:paraId="54A1D238" w14:textId="77777777" w:rsidR="00FD2C14" w:rsidRDefault="00FD2C14" w:rsidP="004468D8">
      <w:pPr>
        <w:pStyle w:val="ListParagraph"/>
        <w:numPr>
          <w:ilvl w:val="0"/>
          <w:numId w:val="20"/>
        </w:numPr>
        <w:ind w:left="2694"/>
        <w:contextualSpacing w:val="0"/>
      </w:pPr>
      <w:r>
        <w:t>A</w:t>
      </w:r>
      <w:r w:rsidR="00950768">
        <w:t xml:space="preserve">/R Balances: As a minimum, </w:t>
      </w:r>
      <w:r>
        <w:t>an account statement should be sent via e-mail to the customer and sales person for the account</w:t>
      </w:r>
      <w:r w:rsidR="00950768">
        <w:t xml:space="preserve"> on a monthly basis</w:t>
      </w:r>
      <w:r>
        <w:t>. As required, the e-mail should include high-level commentary and a call to action in case</w:t>
      </w:r>
      <w:r w:rsidR="00482664">
        <w:t xml:space="preserve">s where </w:t>
      </w:r>
      <w:r w:rsidR="001921E3">
        <w:t>the payment</w:t>
      </w:r>
      <w:r>
        <w:t xml:space="preserve"> due dates are approaching or a customer is overdue. </w:t>
      </w:r>
    </w:p>
    <w:p w14:paraId="54A1D239" w14:textId="77777777" w:rsidR="00BD161E" w:rsidRPr="00950768" w:rsidRDefault="00950768" w:rsidP="00950768">
      <w:pPr>
        <w:pStyle w:val="ListParagraph"/>
        <w:ind w:left="2694"/>
        <w:rPr>
          <w:b/>
        </w:rPr>
      </w:pPr>
      <w:r>
        <w:rPr>
          <w:b/>
        </w:rPr>
        <w:t xml:space="preserve">NOTE: </w:t>
      </w:r>
      <w:r w:rsidR="00BD161E" w:rsidRPr="00950768">
        <w:rPr>
          <w:b/>
        </w:rPr>
        <w:t>Customer inquiries on balances are no justification for late payment</w:t>
      </w:r>
    </w:p>
    <w:p w14:paraId="54A1D23A" w14:textId="77777777" w:rsidR="00BD161E" w:rsidRDefault="005640CF" w:rsidP="004468D8">
      <w:pPr>
        <w:pStyle w:val="ListParagraph"/>
        <w:numPr>
          <w:ilvl w:val="0"/>
          <w:numId w:val="20"/>
        </w:numPr>
        <w:ind w:left="2694"/>
        <w:contextualSpacing w:val="0"/>
      </w:pPr>
      <w:r>
        <w:t>Terms and c</w:t>
      </w:r>
      <w:r w:rsidR="00BD161E" w:rsidRPr="004468D8">
        <w:t xml:space="preserve">onditions state that customers accept </w:t>
      </w:r>
      <w:r>
        <w:t>liability of goods received upon delivery.</w:t>
      </w:r>
      <w:r w:rsidR="00BD161E" w:rsidRPr="004468D8">
        <w:t xml:space="preserve"> </w:t>
      </w:r>
    </w:p>
    <w:p w14:paraId="54A1D23B" w14:textId="77777777" w:rsidR="005640CF" w:rsidRPr="004468D8" w:rsidRDefault="005640CF" w:rsidP="005640CF">
      <w:pPr>
        <w:pStyle w:val="ListParagraph"/>
        <w:ind w:left="2694"/>
        <w:contextualSpacing w:val="0"/>
      </w:pPr>
    </w:p>
    <w:p w14:paraId="54A1D23C" w14:textId="77777777" w:rsidR="00FD2C14" w:rsidRPr="004468D8" w:rsidRDefault="00FD2C14" w:rsidP="004468D8">
      <w:pPr>
        <w:pStyle w:val="ListParagraph"/>
        <w:numPr>
          <w:ilvl w:val="2"/>
          <w:numId w:val="6"/>
        </w:numPr>
        <w:contextualSpacing w:val="0"/>
        <w:rPr>
          <w:b/>
        </w:rPr>
      </w:pPr>
      <w:r w:rsidRPr="004468D8">
        <w:rPr>
          <w:b/>
        </w:rPr>
        <w:t>Internal reporting</w:t>
      </w:r>
    </w:p>
    <w:p w14:paraId="54A1D23D" w14:textId="77777777" w:rsidR="00FD2C14" w:rsidRDefault="00FD2C14" w:rsidP="004468D8">
      <w:pPr>
        <w:pStyle w:val="ListParagraph"/>
        <w:numPr>
          <w:ilvl w:val="0"/>
          <w:numId w:val="21"/>
        </w:numPr>
        <w:ind w:left="2127" w:hanging="284"/>
      </w:pPr>
      <w:r>
        <w:t>In addition to customer focused communication</w:t>
      </w:r>
      <w:r w:rsidR="00854AC1">
        <w:t>,</w:t>
      </w:r>
      <w:r w:rsidR="000B4756">
        <w:t xml:space="preserve"> </w:t>
      </w:r>
      <w:r w:rsidR="00854AC1">
        <w:t>Group</w:t>
      </w:r>
      <w:r>
        <w:t xml:space="preserve"> Finance will communicate upcoming overdue</w:t>
      </w:r>
      <w:r w:rsidR="007B76B8">
        <w:t xml:space="preserve"> balances</w:t>
      </w:r>
      <w:r>
        <w:t xml:space="preserve"> to the commercial team/</w:t>
      </w:r>
      <w:r w:rsidR="00854AC1">
        <w:t xml:space="preserve"> </w:t>
      </w:r>
      <w:r>
        <w:t xml:space="preserve">the responsible sales person. </w:t>
      </w:r>
    </w:p>
    <w:p w14:paraId="54A1D23E" w14:textId="77777777" w:rsidR="00FD2C14" w:rsidRDefault="00FD2C14" w:rsidP="004468D8">
      <w:pPr>
        <w:pStyle w:val="ListParagraph"/>
        <w:numPr>
          <w:ilvl w:val="0"/>
          <w:numId w:val="21"/>
        </w:numPr>
        <w:ind w:left="2127" w:hanging="284"/>
      </w:pPr>
      <w:r>
        <w:t xml:space="preserve">Unless requested to do otherwise by Group Finance, markets are requested to submit a format specified by Group Finance on a </w:t>
      </w:r>
      <w:r w:rsidR="0073392A">
        <w:t>monthly</w:t>
      </w:r>
      <w:r>
        <w:t xml:space="preserve"> basis as part of the clo</w:t>
      </w:r>
      <w:r w:rsidR="00AC7629">
        <w:t>se package for that period-end to outline overdue accounts by market</w:t>
      </w:r>
      <w:r w:rsidR="00854AC1">
        <w:t>.</w:t>
      </w:r>
    </w:p>
    <w:p w14:paraId="54A1D23F" w14:textId="77777777" w:rsidR="000B4756" w:rsidRDefault="000B4756" w:rsidP="004468D8">
      <w:pPr>
        <w:pStyle w:val="ListParagraph"/>
        <w:ind w:left="2127"/>
      </w:pPr>
    </w:p>
    <w:p w14:paraId="54A1D240" w14:textId="77777777" w:rsidR="00FD2C14" w:rsidRPr="004468D8" w:rsidRDefault="007B76B8" w:rsidP="004468D8">
      <w:pPr>
        <w:pStyle w:val="ListParagraph"/>
        <w:numPr>
          <w:ilvl w:val="2"/>
          <w:numId w:val="6"/>
        </w:numPr>
        <w:contextualSpacing w:val="0"/>
        <w:rPr>
          <w:b/>
        </w:rPr>
      </w:pPr>
      <w:r>
        <w:rPr>
          <w:b/>
        </w:rPr>
        <w:t>Measures to address overdue balances</w:t>
      </w:r>
    </w:p>
    <w:p w14:paraId="54A1D241" w14:textId="77777777" w:rsidR="000B4756" w:rsidRDefault="000B4756" w:rsidP="004468D8">
      <w:pPr>
        <w:pStyle w:val="ListParagraph"/>
        <w:ind w:left="2127"/>
      </w:pPr>
    </w:p>
    <w:tbl>
      <w:tblPr>
        <w:tblW w:w="4002" w:type="pct"/>
        <w:tblInd w:w="1951" w:type="dxa"/>
        <w:tblLook w:val="04A0" w:firstRow="1" w:lastRow="0" w:firstColumn="1" w:lastColumn="0" w:noHBand="0" w:noVBand="1"/>
      </w:tblPr>
      <w:tblGrid>
        <w:gridCol w:w="1133"/>
        <w:gridCol w:w="2052"/>
        <w:gridCol w:w="4212"/>
      </w:tblGrid>
      <w:tr w:rsidR="00A36498" w:rsidRPr="00B864E7" w14:paraId="54A1D245" w14:textId="77777777" w:rsidTr="00A36498">
        <w:trPr>
          <w:trHeight w:val="768"/>
        </w:trPr>
        <w:tc>
          <w:tcPr>
            <w:tcW w:w="766" w:type="pct"/>
            <w:tcBorders>
              <w:top w:val="single" w:sz="4" w:space="0" w:color="auto"/>
              <w:left w:val="single" w:sz="4" w:space="0" w:color="auto"/>
              <w:bottom w:val="single" w:sz="4" w:space="0" w:color="auto"/>
              <w:right w:val="single" w:sz="4" w:space="0" w:color="auto"/>
            </w:tcBorders>
            <w:shd w:val="clear" w:color="000000" w:fill="8DB3E2"/>
            <w:vAlign w:val="center"/>
            <w:hideMark/>
          </w:tcPr>
          <w:p w14:paraId="54A1D242" w14:textId="77777777" w:rsidR="007B76B8" w:rsidRPr="00F62C5B" w:rsidRDefault="007B76B8" w:rsidP="00F62C5B">
            <w:pPr>
              <w:jc w:val="center"/>
              <w:rPr>
                <w:rFonts w:eastAsia="Times New Roman" w:cs="Arial"/>
                <w:b/>
                <w:bCs/>
                <w:color w:val="000000"/>
                <w:sz w:val="21"/>
                <w:szCs w:val="21"/>
                <w:lang w:eastAsia="en-GB"/>
              </w:rPr>
            </w:pPr>
            <w:r w:rsidRPr="00F62C5B">
              <w:rPr>
                <w:rFonts w:eastAsia="Times New Roman" w:cs="Arial"/>
                <w:b/>
                <w:bCs/>
                <w:color w:val="000000"/>
                <w:sz w:val="21"/>
                <w:szCs w:val="21"/>
                <w:lang w:eastAsia="en-GB"/>
              </w:rPr>
              <w:t>Day to Due Date</w:t>
            </w:r>
          </w:p>
        </w:tc>
        <w:tc>
          <w:tcPr>
            <w:tcW w:w="1387" w:type="pct"/>
            <w:tcBorders>
              <w:top w:val="single" w:sz="4" w:space="0" w:color="auto"/>
              <w:left w:val="nil"/>
              <w:bottom w:val="single" w:sz="4" w:space="0" w:color="auto"/>
              <w:right w:val="single" w:sz="4" w:space="0" w:color="auto"/>
            </w:tcBorders>
            <w:shd w:val="clear" w:color="000000" w:fill="8DB3E2"/>
            <w:vAlign w:val="center"/>
            <w:hideMark/>
          </w:tcPr>
          <w:p w14:paraId="54A1D243" w14:textId="77777777" w:rsidR="007B76B8" w:rsidRPr="00F62C5B" w:rsidRDefault="007B76B8" w:rsidP="00F62C5B">
            <w:pPr>
              <w:jc w:val="center"/>
              <w:rPr>
                <w:rFonts w:eastAsia="Times New Roman" w:cs="Arial"/>
                <w:b/>
                <w:bCs/>
                <w:color w:val="000000"/>
                <w:sz w:val="21"/>
                <w:szCs w:val="21"/>
                <w:lang w:eastAsia="en-GB"/>
              </w:rPr>
            </w:pPr>
            <w:commentRangeStart w:id="16"/>
            <w:r w:rsidRPr="00F62C5B">
              <w:rPr>
                <w:rFonts w:eastAsia="Times New Roman" w:cs="Arial"/>
                <w:b/>
                <w:bCs/>
                <w:color w:val="000000"/>
                <w:sz w:val="21"/>
                <w:szCs w:val="21"/>
                <w:lang w:eastAsia="en-GB"/>
              </w:rPr>
              <w:t>Responsibility</w:t>
            </w:r>
            <w:commentRangeEnd w:id="16"/>
            <w:r w:rsidR="00522211">
              <w:rPr>
                <w:rStyle w:val="CommentReference"/>
                <w:rFonts w:ascii="Times New Roman" w:eastAsia="Times New Roman" w:hAnsi="Times New Roman" w:cs="Times New Roman"/>
              </w:rPr>
              <w:commentReference w:id="16"/>
            </w:r>
          </w:p>
        </w:tc>
        <w:tc>
          <w:tcPr>
            <w:tcW w:w="2847" w:type="pct"/>
            <w:tcBorders>
              <w:top w:val="single" w:sz="4" w:space="0" w:color="auto"/>
              <w:left w:val="nil"/>
              <w:bottom w:val="single" w:sz="4" w:space="0" w:color="auto"/>
              <w:right w:val="single" w:sz="4" w:space="0" w:color="auto"/>
            </w:tcBorders>
            <w:shd w:val="clear" w:color="000000" w:fill="8DB3E2"/>
            <w:vAlign w:val="center"/>
            <w:hideMark/>
          </w:tcPr>
          <w:p w14:paraId="54A1D244" w14:textId="77777777" w:rsidR="007B76B8" w:rsidRPr="00F62C5B" w:rsidRDefault="007B76B8" w:rsidP="00F62C5B">
            <w:pPr>
              <w:jc w:val="center"/>
              <w:rPr>
                <w:rFonts w:eastAsia="Times New Roman" w:cs="Arial"/>
                <w:b/>
                <w:bCs/>
                <w:color w:val="000000"/>
                <w:sz w:val="21"/>
                <w:szCs w:val="21"/>
                <w:lang w:eastAsia="en-GB"/>
              </w:rPr>
            </w:pPr>
            <w:r w:rsidRPr="00B864E7">
              <w:rPr>
                <w:rFonts w:eastAsia="Times New Roman" w:cs="Arial"/>
                <w:b/>
                <w:bCs/>
                <w:color w:val="000000"/>
                <w:sz w:val="21"/>
                <w:szCs w:val="21"/>
                <w:lang w:eastAsia="en-GB"/>
              </w:rPr>
              <w:t>Notification to be Sent</w:t>
            </w:r>
          </w:p>
        </w:tc>
      </w:tr>
      <w:tr w:rsidR="00A36498" w:rsidRPr="00B864E7" w14:paraId="54A1D249" w14:textId="77777777" w:rsidTr="00A36498">
        <w:trPr>
          <w:trHeight w:hRule="exact" w:val="1275"/>
        </w:trPr>
        <w:tc>
          <w:tcPr>
            <w:tcW w:w="766" w:type="pct"/>
            <w:tcBorders>
              <w:top w:val="nil"/>
              <w:left w:val="single" w:sz="4" w:space="0" w:color="auto"/>
              <w:bottom w:val="single" w:sz="4" w:space="0" w:color="auto"/>
              <w:right w:val="single" w:sz="4" w:space="0" w:color="auto"/>
            </w:tcBorders>
            <w:shd w:val="clear" w:color="auto" w:fill="auto"/>
            <w:hideMark/>
          </w:tcPr>
          <w:p w14:paraId="54A1D246" w14:textId="77777777" w:rsidR="007B76B8" w:rsidRPr="00F62C5B" w:rsidRDefault="007B76B8" w:rsidP="00A36498">
            <w:pPr>
              <w:rPr>
                <w:rFonts w:eastAsia="Times New Roman" w:cs="Arial"/>
                <w:color w:val="000000"/>
                <w:sz w:val="21"/>
                <w:szCs w:val="21"/>
                <w:lang w:eastAsia="en-GB"/>
              </w:rPr>
            </w:pPr>
            <w:r w:rsidRPr="00F62C5B">
              <w:rPr>
                <w:rFonts w:eastAsia="Times New Roman" w:cs="Arial"/>
                <w:color w:val="000000"/>
                <w:sz w:val="21"/>
                <w:szCs w:val="21"/>
                <w:lang w:eastAsia="en-GB"/>
              </w:rPr>
              <w:t>Day -3</w:t>
            </w:r>
          </w:p>
        </w:tc>
        <w:tc>
          <w:tcPr>
            <w:tcW w:w="1387" w:type="pct"/>
            <w:tcBorders>
              <w:top w:val="nil"/>
              <w:left w:val="nil"/>
              <w:bottom w:val="single" w:sz="4" w:space="0" w:color="auto"/>
              <w:right w:val="single" w:sz="4" w:space="0" w:color="auto"/>
            </w:tcBorders>
            <w:shd w:val="clear" w:color="auto" w:fill="auto"/>
            <w:hideMark/>
          </w:tcPr>
          <w:p w14:paraId="54A1D247" w14:textId="77777777" w:rsidR="007B76B8" w:rsidRPr="00744DAD" w:rsidRDefault="00744DAD" w:rsidP="00744DAD">
            <w:pPr>
              <w:rPr>
                <w:rFonts w:eastAsia="Times New Roman" w:cs="Arial"/>
                <w:color w:val="000000"/>
                <w:sz w:val="21"/>
                <w:szCs w:val="21"/>
                <w:lang w:eastAsia="en-GB"/>
              </w:rPr>
            </w:pPr>
            <w:r w:rsidRPr="00744DAD">
              <w:rPr>
                <w:rFonts w:eastAsia="Times New Roman" w:cs="Arial"/>
                <w:color w:val="000000"/>
                <w:sz w:val="21"/>
                <w:szCs w:val="21"/>
                <w:lang w:eastAsia="en-GB"/>
              </w:rPr>
              <w:t>Finance</w:t>
            </w:r>
          </w:p>
        </w:tc>
        <w:tc>
          <w:tcPr>
            <w:tcW w:w="2847" w:type="pct"/>
            <w:tcBorders>
              <w:top w:val="nil"/>
              <w:left w:val="nil"/>
              <w:bottom w:val="single" w:sz="4" w:space="0" w:color="auto"/>
              <w:right w:val="single" w:sz="4" w:space="0" w:color="auto"/>
            </w:tcBorders>
            <w:shd w:val="clear" w:color="auto" w:fill="auto"/>
            <w:vAlign w:val="center"/>
            <w:hideMark/>
          </w:tcPr>
          <w:p w14:paraId="54A1D248" w14:textId="77777777" w:rsidR="007B76B8" w:rsidRPr="00F62C5B" w:rsidRDefault="007B76B8" w:rsidP="00F62C5B">
            <w:pPr>
              <w:rPr>
                <w:rFonts w:eastAsia="Times New Roman" w:cs="Arial"/>
                <w:color w:val="000000"/>
                <w:sz w:val="21"/>
                <w:szCs w:val="21"/>
                <w:lang w:eastAsia="en-GB"/>
              </w:rPr>
            </w:pPr>
            <w:r w:rsidRPr="00F62C5B">
              <w:rPr>
                <w:rFonts w:eastAsia="Times New Roman" w:cs="Arial"/>
                <w:color w:val="000000"/>
                <w:sz w:val="21"/>
                <w:szCs w:val="21"/>
                <w:lang w:eastAsia="en-GB"/>
              </w:rPr>
              <w:t>A reminder of an upcoming deadline should be sent via e-mail to the account holder. This is a courtesy reminder and in no way removes the responsibility from the customer for timely payment.</w:t>
            </w:r>
          </w:p>
        </w:tc>
      </w:tr>
      <w:tr w:rsidR="00A36498" w:rsidRPr="00B864E7" w14:paraId="54A1D24D" w14:textId="77777777" w:rsidTr="00A36498">
        <w:trPr>
          <w:trHeight w:val="768"/>
        </w:trPr>
        <w:tc>
          <w:tcPr>
            <w:tcW w:w="766" w:type="pct"/>
            <w:tcBorders>
              <w:top w:val="nil"/>
              <w:left w:val="single" w:sz="4" w:space="0" w:color="auto"/>
              <w:bottom w:val="single" w:sz="4" w:space="0" w:color="auto"/>
              <w:right w:val="single" w:sz="4" w:space="0" w:color="auto"/>
            </w:tcBorders>
            <w:shd w:val="clear" w:color="auto" w:fill="auto"/>
            <w:hideMark/>
          </w:tcPr>
          <w:p w14:paraId="54A1D24A" w14:textId="77777777" w:rsidR="007B76B8" w:rsidRPr="00F62C5B" w:rsidRDefault="007B76B8" w:rsidP="00A36498">
            <w:pPr>
              <w:rPr>
                <w:rFonts w:eastAsia="Times New Roman" w:cs="Arial"/>
                <w:color w:val="000000"/>
                <w:sz w:val="21"/>
                <w:szCs w:val="21"/>
                <w:lang w:eastAsia="en-GB"/>
              </w:rPr>
            </w:pPr>
            <w:r w:rsidRPr="00F62C5B">
              <w:rPr>
                <w:rFonts w:eastAsia="Times New Roman" w:cs="Arial"/>
                <w:color w:val="000000"/>
                <w:sz w:val="21"/>
                <w:szCs w:val="21"/>
                <w:lang w:eastAsia="en-GB"/>
              </w:rPr>
              <w:t>Day 3</w:t>
            </w:r>
          </w:p>
        </w:tc>
        <w:tc>
          <w:tcPr>
            <w:tcW w:w="1387" w:type="pct"/>
            <w:tcBorders>
              <w:top w:val="nil"/>
              <w:left w:val="nil"/>
              <w:bottom w:val="single" w:sz="4" w:space="0" w:color="auto"/>
              <w:right w:val="single" w:sz="4" w:space="0" w:color="auto"/>
            </w:tcBorders>
            <w:shd w:val="clear" w:color="auto" w:fill="auto"/>
            <w:hideMark/>
          </w:tcPr>
          <w:p w14:paraId="54A1D24B" w14:textId="77777777" w:rsidR="007B76B8" w:rsidRPr="00744DAD" w:rsidRDefault="00744DAD" w:rsidP="00744DAD">
            <w:pPr>
              <w:rPr>
                <w:rFonts w:eastAsia="Times New Roman" w:cs="Arial"/>
                <w:color w:val="000000"/>
                <w:sz w:val="21"/>
                <w:szCs w:val="21"/>
                <w:lang w:eastAsia="en-GB"/>
              </w:rPr>
            </w:pPr>
            <w:r w:rsidRPr="00744DAD">
              <w:rPr>
                <w:rFonts w:eastAsia="Times New Roman" w:cs="Arial"/>
                <w:color w:val="000000"/>
                <w:sz w:val="21"/>
                <w:szCs w:val="21"/>
                <w:lang w:eastAsia="en-GB"/>
              </w:rPr>
              <w:t>Finance</w:t>
            </w:r>
          </w:p>
        </w:tc>
        <w:tc>
          <w:tcPr>
            <w:tcW w:w="2847" w:type="pct"/>
            <w:tcBorders>
              <w:top w:val="nil"/>
              <w:left w:val="nil"/>
              <w:bottom w:val="single" w:sz="4" w:space="0" w:color="auto"/>
              <w:right w:val="single" w:sz="4" w:space="0" w:color="auto"/>
            </w:tcBorders>
            <w:shd w:val="clear" w:color="auto" w:fill="auto"/>
            <w:vAlign w:val="center"/>
            <w:hideMark/>
          </w:tcPr>
          <w:p w14:paraId="54A1D24C" w14:textId="77777777" w:rsidR="007B76B8" w:rsidRPr="00F62C5B" w:rsidRDefault="00744DAD" w:rsidP="00F62C5B">
            <w:pPr>
              <w:rPr>
                <w:rFonts w:eastAsia="Times New Roman" w:cs="Arial"/>
                <w:color w:val="000000"/>
                <w:sz w:val="21"/>
                <w:szCs w:val="21"/>
                <w:lang w:eastAsia="en-GB"/>
              </w:rPr>
            </w:pPr>
            <w:r>
              <w:rPr>
                <w:rFonts w:eastAsia="Times New Roman" w:cs="Arial"/>
                <w:color w:val="000000"/>
                <w:sz w:val="21"/>
                <w:szCs w:val="21"/>
                <w:lang w:eastAsia="en-GB"/>
              </w:rPr>
              <w:t xml:space="preserve">First reminder; </w:t>
            </w:r>
            <w:r w:rsidR="007B76B8" w:rsidRPr="00B864E7">
              <w:rPr>
                <w:rFonts w:eastAsia="Times New Roman" w:cs="Arial"/>
                <w:color w:val="000000"/>
                <w:sz w:val="21"/>
                <w:szCs w:val="21"/>
                <w:lang w:eastAsia="en-GB"/>
              </w:rPr>
              <w:t>E</w:t>
            </w:r>
            <w:r w:rsidR="007B76B8" w:rsidRPr="00F62C5B">
              <w:rPr>
                <w:rFonts w:eastAsia="Times New Roman" w:cs="Arial"/>
                <w:color w:val="000000"/>
                <w:sz w:val="21"/>
                <w:szCs w:val="21"/>
                <w:lang w:eastAsia="en-GB"/>
              </w:rPr>
              <w:t>-mai</w:t>
            </w:r>
            <w:r w:rsidR="007B76B8" w:rsidRPr="00B864E7">
              <w:rPr>
                <w:rFonts w:eastAsia="Times New Roman" w:cs="Arial"/>
                <w:color w:val="000000"/>
                <w:sz w:val="21"/>
                <w:szCs w:val="21"/>
                <w:lang w:eastAsia="en-GB"/>
              </w:rPr>
              <w:t xml:space="preserve">l will </w:t>
            </w:r>
            <w:r w:rsidR="007B76B8" w:rsidRPr="00F62C5B">
              <w:rPr>
                <w:rFonts w:eastAsia="Times New Roman" w:cs="Arial"/>
                <w:color w:val="000000"/>
                <w:sz w:val="21"/>
                <w:szCs w:val="21"/>
                <w:lang w:eastAsia="en-GB"/>
              </w:rPr>
              <w:t>outline the actions ColArt reserves to take in case the overdue is not settled as due</w:t>
            </w:r>
            <w:r w:rsidR="007B76B8" w:rsidRPr="00B864E7">
              <w:rPr>
                <w:rFonts w:eastAsia="Times New Roman" w:cs="Arial"/>
                <w:color w:val="000000"/>
                <w:sz w:val="21"/>
                <w:szCs w:val="21"/>
                <w:lang w:eastAsia="en-GB"/>
              </w:rPr>
              <w:t>.</w:t>
            </w:r>
          </w:p>
        </w:tc>
      </w:tr>
      <w:tr w:rsidR="00A36498" w:rsidRPr="00B864E7" w14:paraId="54A1D257" w14:textId="77777777" w:rsidTr="00A36498">
        <w:trPr>
          <w:trHeight w:val="301"/>
        </w:trPr>
        <w:tc>
          <w:tcPr>
            <w:tcW w:w="766" w:type="pct"/>
            <w:tcBorders>
              <w:top w:val="nil"/>
              <w:left w:val="single" w:sz="4" w:space="0" w:color="auto"/>
              <w:bottom w:val="single" w:sz="4" w:space="0" w:color="auto"/>
              <w:right w:val="single" w:sz="4" w:space="0" w:color="auto"/>
            </w:tcBorders>
            <w:shd w:val="clear" w:color="auto" w:fill="auto"/>
            <w:hideMark/>
          </w:tcPr>
          <w:p w14:paraId="54A1D24E" w14:textId="77777777" w:rsidR="007B76B8" w:rsidRPr="00F62C5B" w:rsidRDefault="007B76B8" w:rsidP="00A36498">
            <w:pPr>
              <w:rPr>
                <w:rFonts w:eastAsia="Times New Roman" w:cs="Arial"/>
                <w:color w:val="000000"/>
                <w:sz w:val="21"/>
                <w:szCs w:val="21"/>
                <w:lang w:eastAsia="en-GB"/>
              </w:rPr>
            </w:pPr>
            <w:r w:rsidRPr="00B864E7">
              <w:rPr>
                <w:rFonts w:eastAsia="Times New Roman" w:cs="Arial"/>
                <w:color w:val="000000"/>
                <w:sz w:val="21"/>
                <w:szCs w:val="21"/>
                <w:lang w:eastAsia="en-GB"/>
              </w:rPr>
              <w:t>Day 8</w:t>
            </w:r>
          </w:p>
        </w:tc>
        <w:tc>
          <w:tcPr>
            <w:tcW w:w="1387" w:type="pct"/>
            <w:tcBorders>
              <w:top w:val="nil"/>
              <w:left w:val="nil"/>
              <w:bottom w:val="single" w:sz="4" w:space="0" w:color="auto"/>
              <w:right w:val="single" w:sz="4" w:space="0" w:color="auto"/>
            </w:tcBorders>
            <w:shd w:val="clear" w:color="auto" w:fill="auto"/>
            <w:hideMark/>
          </w:tcPr>
          <w:p w14:paraId="54A1D24F" w14:textId="77777777" w:rsidR="007B76B8" w:rsidRPr="00744DAD" w:rsidRDefault="00744DAD" w:rsidP="00744DAD">
            <w:pPr>
              <w:rPr>
                <w:rFonts w:eastAsia="Times New Roman" w:cs="Arial"/>
                <w:color w:val="000000"/>
                <w:sz w:val="21"/>
                <w:szCs w:val="21"/>
                <w:lang w:eastAsia="en-GB"/>
              </w:rPr>
            </w:pPr>
            <w:r w:rsidRPr="00744DAD">
              <w:rPr>
                <w:rFonts w:eastAsia="Times New Roman" w:cs="Arial"/>
                <w:color w:val="000000"/>
                <w:sz w:val="21"/>
                <w:szCs w:val="21"/>
                <w:lang w:eastAsia="en-GB"/>
              </w:rPr>
              <w:t>Finance</w:t>
            </w:r>
          </w:p>
        </w:tc>
        <w:tc>
          <w:tcPr>
            <w:tcW w:w="2847" w:type="pct"/>
            <w:tcBorders>
              <w:top w:val="nil"/>
              <w:left w:val="nil"/>
              <w:bottom w:val="single" w:sz="4" w:space="0" w:color="auto"/>
              <w:right w:val="single" w:sz="4" w:space="0" w:color="auto"/>
            </w:tcBorders>
            <w:shd w:val="clear" w:color="auto" w:fill="auto"/>
            <w:vAlign w:val="center"/>
            <w:hideMark/>
          </w:tcPr>
          <w:p w14:paraId="54A1D250" w14:textId="77777777" w:rsidR="007B76B8" w:rsidRPr="00B864E7" w:rsidRDefault="007B76B8" w:rsidP="007B76B8">
            <w:pPr>
              <w:rPr>
                <w:sz w:val="21"/>
                <w:szCs w:val="21"/>
              </w:rPr>
            </w:pPr>
            <w:r w:rsidRPr="00B864E7">
              <w:rPr>
                <w:rFonts w:eastAsia="Times New Roman" w:cs="Arial"/>
                <w:color w:val="000000"/>
                <w:sz w:val="21"/>
                <w:szCs w:val="21"/>
                <w:lang w:eastAsia="en-GB"/>
              </w:rPr>
              <w:t>E</w:t>
            </w:r>
            <w:r w:rsidRPr="00F62C5B">
              <w:rPr>
                <w:rFonts w:eastAsia="Times New Roman" w:cs="Arial"/>
                <w:color w:val="000000"/>
                <w:sz w:val="21"/>
                <w:szCs w:val="21"/>
                <w:lang w:eastAsia="en-GB"/>
              </w:rPr>
              <w:t>-mai</w:t>
            </w:r>
            <w:r w:rsidRPr="00B864E7">
              <w:rPr>
                <w:rFonts w:eastAsia="Times New Roman" w:cs="Arial"/>
                <w:color w:val="000000"/>
                <w:sz w:val="21"/>
                <w:szCs w:val="21"/>
                <w:lang w:eastAsia="en-GB"/>
              </w:rPr>
              <w:t xml:space="preserve">l </w:t>
            </w:r>
            <w:r w:rsidRPr="00B864E7">
              <w:rPr>
                <w:sz w:val="21"/>
                <w:szCs w:val="21"/>
              </w:rPr>
              <w:t>will be issued informing the customer that in line with terms and conditions ColArt is now charging interest on the overdue balance.</w:t>
            </w:r>
          </w:p>
          <w:p w14:paraId="54A1D251" w14:textId="77777777" w:rsidR="007B76B8" w:rsidRPr="00B864E7" w:rsidRDefault="007B76B8" w:rsidP="007B76B8">
            <w:pPr>
              <w:rPr>
                <w:sz w:val="21"/>
                <w:szCs w:val="21"/>
              </w:rPr>
            </w:pPr>
          </w:p>
          <w:p w14:paraId="54A1D252" w14:textId="77777777" w:rsidR="007B76B8" w:rsidRPr="00B864E7" w:rsidRDefault="007B76B8" w:rsidP="007B76B8">
            <w:pPr>
              <w:rPr>
                <w:sz w:val="21"/>
                <w:szCs w:val="21"/>
              </w:rPr>
            </w:pPr>
            <w:r w:rsidRPr="00B864E7">
              <w:rPr>
                <w:sz w:val="21"/>
                <w:szCs w:val="21"/>
              </w:rPr>
              <w:t xml:space="preserve">Interest rate applied </w:t>
            </w:r>
            <w:r w:rsidR="00B864E7">
              <w:rPr>
                <w:sz w:val="21"/>
                <w:szCs w:val="21"/>
              </w:rPr>
              <w:t>will be</w:t>
            </w:r>
            <w:r w:rsidRPr="00B864E7">
              <w:rPr>
                <w:sz w:val="21"/>
                <w:szCs w:val="21"/>
              </w:rPr>
              <w:t xml:space="preserve"> the higher of 18% per annum (simple interest) or the locally permitted interest.</w:t>
            </w:r>
          </w:p>
          <w:p w14:paraId="54A1D253" w14:textId="77777777" w:rsidR="007B76B8" w:rsidRPr="00B864E7" w:rsidRDefault="007B76B8" w:rsidP="007B76B8">
            <w:pPr>
              <w:rPr>
                <w:sz w:val="21"/>
                <w:szCs w:val="21"/>
              </w:rPr>
            </w:pPr>
          </w:p>
          <w:p w14:paraId="54A1D254" w14:textId="77777777" w:rsidR="007B76B8" w:rsidRPr="00B864E7" w:rsidRDefault="007B76B8" w:rsidP="007B76B8">
            <w:pPr>
              <w:rPr>
                <w:sz w:val="21"/>
                <w:szCs w:val="21"/>
              </w:rPr>
            </w:pPr>
            <w:r w:rsidRPr="00B864E7">
              <w:rPr>
                <w:sz w:val="21"/>
                <w:szCs w:val="21"/>
              </w:rPr>
              <w:t>This note will also highlight that ColArt retains the right to take legal action after a further seven working days as well as reserve the right to report the overdue balances to the credit agency.</w:t>
            </w:r>
          </w:p>
          <w:p w14:paraId="54A1D255" w14:textId="77777777" w:rsidR="007B76B8" w:rsidRPr="00B864E7" w:rsidRDefault="007B76B8" w:rsidP="007B76B8">
            <w:pPr>
              <w:rPr>
                <w:sz w:val="21"/>
                <w:szCs w:val="21"/>
              </w:rPr>
            </w:pPr>
          </w:p>
          <w:p w14:paraId="54A1D256" w14:textId="77777777" w:rsidR="007B76B8" w:rsidRPr="00F62C5B" w:rsidRDefault="007B76B8" w:rsidP="007B76B8">
            <w:pPr>
              <w:rPr>
                <w:rFonts w:eastAsia="Times New Roman" w:cs="Arial"/>
                <w:color w:val="000000"/>
                <w:sz w:val="21"/>
                <w:szCs w:val="21"/>
                <w:lang w:eastAsia="en-GB"/>
              </w:rPr>
            </w:pPr>
            <w:r w:rsidRPr="00B864E7">
              <w:rPr>
                <w:sz w:val="21"/>
                <w:szCs w:val="21"/>
              </w:rPr>
              <w:t xml:space="preserve">Non-payment will impact the customer’s credit limit and credit rating in line with </w:t>
            </w:r>
            <w:r w:rsidRPr="00B864E7">
              <w:rPr>
                <w:b/>
                <w:sz w:val="21"/>
                <w:szCs w:val="21"/>
              </w:rPr>
              <w:t>4.1.3 iv</w:t>
            </w:r>
            <w:r w:rsidR="00B864E7">
              <w:rPr>
                <w:sz w:val="21"/>
                <w:szCs w:val="21"/>
              </w:rPr>
              <w:t xml:space="preserve"> above.</w:t>
            </w:r>
          </w:p>
        </w:tc>
      </w:tr>
      <w:tr w:rsidR="00B864E7" w:rsidRPr="00B864E7" w14:paraId="54A1D264" w14:textId="77777777" w:rsidTr="00A36498">
        <w:trPr>
          <w:trHeight w:val="512"/>
        </w:trPr>
        <w:tc>
          <w:tcPr>
            <w:tcW w:w="766" w:type="pct"/>
            <w:tcBorders>
              <w:top w:val="nil"/>
              <w:left w:val="single" w:sz="4" w:space="0" w:color="auto"/>
              <w:bottom w:val="single" w:sz="4" w:space="0" w:color="auto"/>
              <w:right w:val="single" w:sz="4" w:space="0" w:color="auto"/>
            </w:tcBorders>
            <w:shd w:val="clear" w:color="auto" w:fill="auto"/>
          </w:tcPr>
          <w:p w14:paraId="54A1D258" w14:textId="77777777" w:rsidR="00B864E7" w:rsidRPr="00F62C5B" w:rsidRDefault="00B864E7" w:rsidP="00A36498">
            <w:pPr>
              <w:rPr>
                <w:rFonts w:eastAsia="Times New Roman" w:cs="Arial"/>
                <w:color w:val="000000"/>
                <w:sz w:val="21"/>
                <w:szCs w:val="21"/>
                <w:lang w:eastAsia="en-GB"/>
              </w:rPr>
            </w:pPr>
            <w:r w:rsidRPr="00B864E7">
              <w:rPr>
                <w:rFonts w:eastAsia="Times New Roman" w:cs="Arial"/>
                <w:color w:val="000000"/>
                <w:sz w:val="21"/>
                <w:szCs w:val="21"/>
                <w:lang w:eastAsia="en-GB"/>
              </w:rPr>
              <w:t>Day 15</w:t>
            </w:r>
          </w:p>
        </w:tc>
        <w:tc>
          <w:tcPr>
            <w:tcW w:w="1387" w:type="pct"/>
            <w:tcBorders>
              <w:top w:val="nil"/>
              <w:left w:val="nil"/>
              <w:bottom w:val="single" w:sz="4" w:space="0" w:color="auto"/>
              <w:right w:val="single" w:sz="4" w:space="0" w:color="auto"/>
            </w:tcBorders>
            <w:shd w:val="clear" w:color="auto" w:fill="auto"/>
          </w:tcPr>
          <w:p w14:paraId="54A1D259" w14:textId="77777777" w:rsidR="00B864E7" w:rsidRPr="00744DAD" w:rsidRDefault="00744DAD" w:rsidP="00744DAD">
            <w:pPr>
              <w:rPr>
                <w:rFonts w:eastAsia="Times New Roman" w:cs="Arial"/>
                <w:color w:val="000000"/>
                <w:sz w:val="21"/>
                <w:szCs w:val="21"/>
                <w:lang w:eastAsia="en-GB"/>
              </w:rPr>
            </w:pPr>
            <w:r w:rsidRPr="00744DAD">
              <w:rPr>
                <w:rFonts w:eastAsia="Times New Roman" w:cs="Arial"/>
                <w:color w:val="000000"/>
                <w:sz w:val="21"/>
                <w:szCs w:val="21"/>
                <w:lang w:eastAsia="en-GB"/>
              </w:rPr>
              <w:t>Finance</w:t>
            </w:r>
          </w:p>
        </w:tc>
        <w:tc>
          <w:tcPr>
            <w:tcW w:w="2847" w:type="pct"/>
            <w:tcBorders>
              <w:top w:val="nil"/>
              <w:left w:val="nil"/>
              <w:bottom w:val="single" w:sz="4" w:space="0" w:color="auto"/>
              <w:right w:val="single" w:sz="4" w:space="0" w:color="auto"/>
            </w:tcBorders>
            <w:shd w:val="clear" w:color="auto" w:fill="auto"/>
            <w:vAlign w:val="center"/>
          </w:tcPr>
          <w:p w14:paraId="54A1D25A" w14:textId="77777777" w:rsidR="00B864E7" w:rsidRPr="00B864E7" w:rsidRDefault="00B864E7" w:rsidP="004362F2">
            <w:pPr>
              <w:rPr>
                <w:sz w:val="21"/>
                <w:szCs w:val="21"/>
              </w:rPr>
            </w:pPr>
            <w:r w:rsidRPr="00B864E7">
              <w:rPr>
                <w:rFonts w:eastAsia="Times New Roman" w:cs="Arial"/>
                <w:color w:val="000000"/>
                <w:sz w:val="21"/>
                <w:szCs w:val="21"/>
                <w:lang w:eastAsia="en-GB"/>
              </w:rPr>
              <w:t>E</w:t>
            </w:r>
            <w:r w:rsidRPr="00F62C5B">
              <w:rPr>
                <w:rFonts w:eastAsia="Times New Roman" w:cs="Arial"/>
                <w:color w:val="000000"/>
                <w:sz w:val="21"/>
                <w:szCs w:val="21"/>
                <w:lang w:eastAsia="en-GB"/>
              </w:rPr>
              <w:t>-mai</w:t>
            </w:r>
            <w:r w:rsidRPr="00B864E7">
              <w:rPr>
                <w:rFonts w:eastAsia="Times New Roman" w:cs="Arial"/>
                <w:color w:val="000000"/>
                <w:sz w:val="21"/>
                <w:szCs w:val="21"/>
                <w:lang w:eastAsia="en-GB"/>
              </w:rPr>
              <w:t xml:space="preserve">l </w:t>
            </w:r>
            <w:r w:rsidRPr="00B864E7">
              <w:rPr>
                <w:sz w:val="21"/>
                <w:szCs w:val="21"/>
              </w:rPr>
              <w:t>will be issued informing the customer of the following:</w:t>
            </w:r>
          </w:p>
          <w:p w14:paraId="54A1D25B" w14:textId="77777777" w:rsidR="00B864E7" w:rsidRPr="00B864E7" w:rsidRDefault="00B864E7" w:rsidP="004362F2">
            <w:pPr>
              <w:rPr>
                <w:sz w:val="21"/>
                <w:szCs w:val="21"/>
              </w:rPr>
            </w:pPr>
          </w:p>
          <w:p w14:paraId="54A1D25C" w14:textId="77777777" w:rsidR="00B864E7" w:rsidRPr="00B864E7" w:rsidRDefault="00B864E7" w:rsidP="004362F2">
            <w:pPr>
              <w:rPr>
                <w:sz w:val="21"/>
                <w:szCs w:val="21"/>
              </w:rPr>
            </w:pPr>
            <w:r w:rsidRPr="00B864E7">
              <w:rPr>
                <w:sz w:val="21"/>
                <w:szCs w:val="21"/>
              </w:rPr>
              <w:t xml:space="preserve">- Outstanding balance in addition, the interest charged. </w:t>
            </w:r>
          </w:p>
          <w:p w14:paraId="54A1D25D" w14:textId="77777777" w:rsidR="00B864E7" w:rsidRPr="00B864E7" w:rsidRDefault="00B864E7" w:rsidP="004362F2">
            <w:pPr>
              <w:rPr>
                <w:sz w:val="21"/>
                <w:szCs w:val="21"/>
              </w:rPr>
            </w:pPr>
            <w:r w:rsidRPr="00B864E7">
              <w:rPr>
                <w:sz w:val="21"/>
                <w:szCs w:val="21"/>
              </w:rPr>
              <w:t>- All orders and any goods awaiting shipment will be held until payment is received.</w:t>
            </w:r>
          </w:p>
          <w:p w14:paraId="54A1D25E" w14:textId="77777777" w:rsidR="00B864E7" w:rsidRPr="00B864E7" w:rsidRDefault="00B864E7" w:rsidP="004362F2">
            <w:pPr>
              <w:rPr>
                <w:sz w:val="21"/>
                <w:szCs w:val="21"/>
              </w:rPr>
            </w:pPr>
            <w:r w:rsidRPr="00B864E7">
              <w:rPr>
                <w:sz w:val="21"/>
                <w:szCs w:val="21"/>
              </w:rPr>
              <w:t>- ColArt will consider legal action to secure payment of the outstanding balance unless paid in full within 5 working days.</w:t>
            </w:r>
          </w:p>
          <w:p w14:paraId="54A1D25F" w14:textId="77777777" w:rsidR="00B864E7" w:rsidRPr="00B864E7" w:rsidRDefault="00B864E7" w:rsidP="004362F2">
            <w:pPr>
              <w:rPr>
                <w:sz w:val="21"/>
                <w:szCs w:val="21"/>
              </w:rPr>
            </w:pPr>
          </w:p>
          <w:p w14:paraId="54A1D260" w14:textId="77777777" w:rsidR="00B864E7" w:rsidRPr="00B864E7" w:rsidRDefault="00B864E7" w:rsidP="004362F2">
            <w:pPr>
              <w:rPr>
                <w:sz w:val="21"/>
                <w:szCs w:val="21"/>
              </w:rPr>
            </w:pPr>
            <w:r w:rsidRPr="00B864E7">
              <w:rPr>
                <w:sz w:val="21"/>
                <w:szCs w:val="21"/>
              </w:rPr>
              <w:t xml:space="preserve">At this point, credit limit will be set to 0 and no future orders/ pending orders will be fulfilled, even if credit continues to be available against the </w:t>
            </w:r>
            <w:r w:rsidR="00A36498" w:rsidRPr="00B864E7">
              <w:rPr>
                <w:sz w:val="21"/>
                <w:szCs w:val="21"/>
              </w:rPr>
              <w:t>original</w:t>
            </w:r>
            <w:r w:rsidRPr="00B864E7">
              <w:rPr>
                <w:sz w:val="21"/>
                <w:szCs w:val="21"/>
              </w:rPr>
              <w:t xml:space="preserve"> credit limit.</w:t>
            </w:r>
          </w:p>
          <w:p w14:paraId="54A1D261" w14:textId="77777777" w:rsidR="00B864E7" w:rsidRPr="00B864E7" w:rsidRDefault="00B864E7" w:rsidP="004362F2">
            <w:pPr>
              <w:rPr>
                <w:sz w:val="21"/>
                <w:szCs w:val="21"/>
              </w:rPr>
            </w:pPr>
          </w:p>
          <w:p w14:paraId="54A1D262" w14:textId="77777777" w:rsidR="00B864E7" w:rsidRPr="00B864E7" w:rsidRDefault="00B864E7" w:rsidP="004362F2">
            <w:pPr>
              <w:rPr>
                <w:sz w:val="21"/>
                <w:szCs w:val="21"/>
              </w:rPr>
            </w:pPr>
            <w:r w:rsidRPr="00B864E7">
              <w:rPr>
                <w:sz w:val="21"/>
                <w:szCs w:val="21"/>
              </w:rPr>
              <w:t>CFO and COO should at this point be notified with the proposed course of action</w:t>
            </w:r>
          </w:p>
          <w:p w14:paraId="54A1D263" w14:textId="77777777" w:rsidR="00B864E7" w:rsidRPr="00F62C5B" w:rsidRDefault="00B864E7" w:rsidP="004362F2">
            <w:pPr>
              <w:rPr>
                <w:rFonts w:eastAsia="Times New Roman" w:cs="Arial"/>
                <w:color w:val="000000"/>
                <w:sz w:val="21"/>
                <w:szCs w:val="21"/>
                <w:lang w:eastAsia="en-GB"/>
              </w:rPr>
            </w:pPr>
          </w:p>
        </w:tc>
      </w:tr>
      <w:tr w:rsidR="00A36498" w:rsidRPr="00B864E7" w14:paraId="54A1D26B" w14:textId="77777777" w:rsidTr="00A36498">
        <w:trPr>
          <w:trHeight w:val="512"/>
        </w:trPr>
        <w:tc>
          <w:tcPr>
            <w:tcW w:w="766" w:type="pct"/>
            <w:tcBorders>
              <w:top w:val="nil"/>
              <w:left w:val="single" w:sz="4" w:space="0" w:color="auto"/>
              <w:bottom w:val="single" w:sz="4" w:space="0" w:color="auto"/>
              <w:right w:val="single" w:sz="4" w:space="0" w:color="auto"/>
            </w:tcBorders>
            <w:shd w:val="clear" w:color="auto" w:fill="auto"/>
          </w:tcPr>
          <w:p w14:paraId="54A1D265" w14:textId="77777777" w:rsidR="00B864E7" w:rsidRPr="00F62C5B" w:rsidRDefault="00B864E7" w:rsidP="00A36498">
            <w:pPr>
              <w:rPr>
                <w:rFonts w:eastAsia="Times New Roman" w:cs="Arial"/>
                <w:color w:val="000000"/>
                <w:sz w:val="21"/>
                <w:szCs w:val="21"/>
                <w:lang w:eastAsia="en-GB"/>
              </w:rPr>
            </w:pPr>
            <w:r>
              <w:rPr>
                <w:rFonts w:eastAsia="Times New Roman" w:cs="Arial"/>
                <w:color w:val="000000"/>
                <w:sz w:val="21"/>
                <w:szCs w:val="21"/>
                <w:lang w:eastAsia="en-GB"/>
              </w:rPr>
              <w:lastRenderedPageBreak/>
              <w:t>&gt;</w:t>
            </w:r>
            <w:r w:rsidRPr="00B864E7">
              <w:rPr>
                <w:rFonts w:eastAsia="Times New Roman" w:cs="Arial"/>
                <w:color w:val="000000"/>
                <w:sz w:val="21"/>
                <w:szCs w:val="21"/>
                <w:lang w:eastAsia="en-GB"/>
              </w:rPr>
              <w:t xml:space="preserve">Day 20 and </w:t>
            </w:r>
            <w:r>
              <w:rPr>
                <w:rFonts w:eastAsia="Times New Roman" w:cs="Arial"/>
                <w:color w:val="000000"/>
                <w:sz w:val="21"/>
                <w:szCs w:val="21"/>
                <w:lang w:eastAsia="en-GB"/>
              </w:rPr>
              <w:t xml:space="preserve"> &lt;</w:t>
            </w:r>
            <w:r w:rsidRPr="00B864E7">
              <w:rPr>
                <w:rFonts w:eastAsia="Times New Roman" w:cs="Arial"/>
                <w:color w:val="000000"/>
                <w:sz w:val="21"/>
                <w:szCs w:val="21"/>
                <w:lang w:eastAsia="en-GB"/>
              </w:rPr>
              <w:t>Day 25</w:t>
            </w:r>
          </w:p>
        </w:tc>
        <w:tc>
          <w:tcPr>
            <w:tcW w:w="1387" w:type="pct"/>
            <w:tcBorders>
              <w:top w:val="nil"/>
              <w:left w:val="nil"/>
              <w:bottom w:val="single" w:sz="4" w:space="0" w:color="auto"/>
              <w:right w:val="single" w:sz="4" w:space="0" w:color="auto"/>
            </w:tcBorders>
            <w:shd w:val="clear" w:color="auto" w:fill="auto"/>
            <w:hideMark/>
          </w:tcPr>
          <w:p w14:paraId="54A1D266" w14:textId="77777777" w:rsidR="00B864E7" w:rsidRPr="00744DAD" w:rsidRDefault="00744DAD" w:rsidP="00744DAD">
            <w:pPr>
              <w:rPr>
                <w:rFonts w:eastAsia="Times New Roman" w:cs="Arial"/>
                <w:color w:val="000000"/>
                <w:sz w:val="21"/>
                <w:szCs w:val="21"/>
                <w:lang w:eastAsia="en-GB"/>
              </w:rPr>
            </w:pPr>
            <w:r w:rsidRPr="00744DAD">
              <w:rPr>
                <w:rFonts w:eastAsia="Times New Roman" w:cs="Arial"/>
                <w:color w:val="000000"/>
                <w:sz w:val="21"/>
                <w:szCs w:val="21"/>
                <w:lang w:eastAsia="en-GB"/>
              </w:rPr>
              <w:t>Finance</w:t>
            </w:r>
          </w:p>
        </w:tc>
        <w:tc>
          <w:tcPr>
            <w:tcW w:w="2847" w:type="pct"/>
            <w:tcBorders>
              <w:top w:val="nil"/>
              <w:left w:val="nil"/>
              <w:bottom w:val="single" w:sz="4" w:space="0" w:color="auto"/>
              <w:right w:val="single" w:sz="4" w:space="0" w:color="auto"/>
            </w:tcBorders>
            <w:shd w:val="clear" w:color="auto" w:fill="auto"/>
            <w:vAlign w:val="center"/>
            <w:hideMark/>
          </w:tcPr>
          <w:p w14:paraId="54A1D267" w14:textId="77777777" w:rsidR="00B864E7" w:rsidRPr="00B864E7" w:rsidRDefault="00B864E7" w:rsidP="00F62C5B">
            <w:pPr>
              <w:rPr>
                <w:sz w:val="21"/>
                <w:szCs w:val="21"/>
              </w:rPr>
            </w:pPr>
            <w:r w:rsidRPr="00B864E7">
              <w:rPr>
                <w:sz w:val="21"/>
                <w:szCs w:val="21"/>
              </w:rPr>
              <w:t xml:space="preserve">Pending the decided course of action, the account will be “taken legal”. ColArt will initial legal proceedings to recover the amount owed where cost effective. </w:t>
            </w:r>
          </w:p>
          <w:p w14:paraId="54A1D268" w14:textId="77777777" w:rsidR="00B864E7" w:rsidRPr="00B864E7" w:rsidRDefault="00B864E7" w:rsidP="00F62C5B">
            <w:pPr>
              <w:rPr>
                <w:sz w:val="21"/>
                <w:szCs w:val="21"/>
              </w:rPr>
            </w:pPr>
          </w:p>
          <w:p w14:paraId="54A1D269" w14:textId="77777777" w:rsidR="00B864E7" w:rsidRPr="00B864E7" w:rsidRDefault="00B864E7" w:rsidP="00F62C5B">
            <w:pPr>
              <w:rPr>
                <w:sz w:val="21"/>
                <w:szCs w:val="21"/>
              </w:rPr>
            </w:pPr>
            <w:r w:rsidRPr="00B864E7">
              <w:rPr>
                <w:sz w:val="21"/>
                <w:szCs w:val="21"/>
              </w:rPr>
              <w:t xml:space="preserve">Customer will be notified that legal action has commenced and at this point an additional fee will be charged for either up to the amount of £200 </w:t>
            </w:r>
            <w:r w:rsidRPr="00B864E7">
              <w:rPr>
                <w:b/>
                <w:sz w:val="21"/>
                <w:szCs w:val="21"/>
                <w:u w:val="single"/>
              </w:rPr>
              <w:t xml:space="preserve">OR </w:t>
            </w:r>
            <w:r w:rsidRPr="00B864E7">
              <w:rPr>
                <w:sz w:val="21"/>
                <w:szCs w:val="21"/>
              </w:rPr>
              <w:t>the local maximum administration fee. In addition, ColArt will report the customer to the credit rating agency.</w:t>
            </w:r>
          </w:p>
          <w:p w14:paraId="54A1D26A" w14:textId="77777777" w:rsidR="00B864E7" w:rsidRPr="00F62C5B" w:rsidRDefault="00B864E7" w:rsidP="00F62C5B">
            <w:pPr>
              <w:rPr>
                <w:rFonts w:eastAsia="Times New Roman" w:cs="Arial"/>
                <w:color w:val="000000"/>
                <w:sz w:val="21"/>
                <w:szCs w:val="21"/>
                <w:lang w:eastAsia="en-GB"/>
              </w:rPr>
            </w:pPr>
          </w:p>
        </w:tc>
      </w:tr>
    </w:tbl>
    <w:p w14:paraId="54A1D26C" w14:textId="77777777" w:rsidR="00F62C5B" w:rsidRDefault="00F62C5B" w:rsidP="004468D8">
      <w:pPr>
        <w:pStyle w:val="ListParagraph"/>
        <w:ind w:left="2127"/>
      </w:pPr>
    </w:p>
    <w:p w14:paraId="54A1D26D" w14:textId="77777777" w:rsidR="00FD2C14" w:rsidRPr="004468D8" w:rsidRDefault="00FD2C14" w:rsidP="004468D8">
      <w:pPr>
        <w:pStyle w:val="ListParagraph"/>
        <w:numPr>
          <w:ilvl w:val="2"/>
          <w:numId w:val="6"/>
        </w:numPr>
        <w:contextualSpacing w:val="0"/>
        <w:rPr>
          <w:b/>
        </w:rPr>
      </w:pPr>
      <w:r w:rsidRPr="004468D8">
        <w:rPr>
          <w:b/>
        </w:rPr>
        <w:t>Customers on Payment Plan</w:t>
      </w:r>
    </w:p>
    <w:p w14:paraId="54A1D26E" w14:textId="77777777" w:rsidR="00FD2C14" w:rsidRDefault="00FD2C14" w:rsidP="004468D8">
      <w:pPr>
        <w:pStyle w:val="ListParagraph"/>
        <w:numPr>
          <w:ilvl w:val="3"/>
          <w:numId w:val="6"/>
        </w:numPr>
        <w:ind w:left="2127" w:hanging="284"/>
      </w:pPr>
      <w:r>
        <w:t>If a customer proposes a payment plan, this plan needs to be signed off by the General Manager of the business unit</w:t>
      </w:r>
      <w:r w:rsidR="0073392A">
        <w:t xml:space="preserve"> and approved by the local Controller</w:t>
      </w:r>
      <w:r w:rsidR="00854AC1">
        <w:t>.</w:t>
      </w:r>
    </w:p>
    <w:p w14:paraId="54A1D26F" w14:textId="77777777" w:rsidR="000726BD" w:rsidRDefault="00FD2C14" w:rsidP="004468D8">
      <w:pPr>
        <w:pStyle w:val="ListParagraph"/>
        <w:numPr>
          <w:ilvl w:val="3"/>
          <w:numId w:val="6"/>
        </w:numPr>
        <w:ind w:left="2127" w:hanging="284"/>
      </w:pPr>
      <w:r>
        <w:t xml:space="preserve">At the discretion of local management, during the payment plan period only </w:t>
      </w:r>
      <w:r w:rsidR="000726BD">
        <w:t>shipments</w:t>
      </w:r>
      <w:r>
        <w:t xml:space="preserve"> against cash in advance can be made, only to reasonable levels.  </w:t>
      </w:r>
    </w:p>
    <w:p w14:paraId="54A1D270" w14:textId="77777777" w:rsidR="00FD2C14" w:rsidRDefault="00FD2C14" w:rsidP="004468D8">
      <w:pPr>
        <w:pStyle w:val="ListParagraph"/>
        <w:numPr>
          <w:ilvl w:val="3"/>
          <w:numId w:val="6"/>
        </w:numPr>
        <w:ind w:left="2127" w:hanging="284"/>
      </w:pPr>
      <w:r>
        <w:t xml:space="preserve">Any </w:t>
      </w:r>
      <w:r w:rsidR="00A36498">
        <w:t>violations of the payment plan will</w:t>
      </w:r>
      <w:r>
        <w:t xml:space="preserve"> immediately </w:t>
      </w:r>
      <w:r w:rsidR="00A36498">
        <w:t xml:space="preserve">trigger </w:t>
      </w:r>
      <w:r w:rsidR="000C5D36">
        <w:t xml:space="preserve">the last step </w:t>
      </w:r>
      <w:r w:rsidR="00A36498">
        <w:t xml:space="preserve">in </w:t>
      </w:r>
      <w:r w:rsidR="00A36498" w:rsidRPr="00A36498">
        <w:rPr>
          <w:b/>
        </w:rPr>
        <w:t>4.2.4</w:t>
      </w:r>
      <w:r w:rsidR="000C5D36">
        <w:t xml:space="preserve"> i.e. </w:t>
      </w:r>
      <w:r w:rsidR="00A36498">
        <w:t>i</w:t>
      </w:r>
      <w:r w:rsidR="000C5D36">
        <w:t>nitiation of legal action.</w:t>
      </w:r>
    </w:p>
    <w:p w14:paraId="54A1D271" w14:textId="77777777" w:rsidR="000C5D36" w:rsidRDefault="000C5D36" w:rsidP="004468D8">
      <w:pPr>
        <w:pStyle w:val="ListParagraph"/>
        <w:numPr>
          <w:ilvl w:val="3"/>
          <w:numId w:val="6"/>
        </w:numPr>
        <w:ind w:left="2127" w:hanging="284"/>
      </w:pPr>
      <w:r>
        <w:t xml:space="preserve">Upon completion of payment plan, new customer limit should be set to </w:t>
      </w:r>
      <w:r w:rsidR="00A36498">
        <w:t>0</w:t>
      </w:r>
      <w:r>
        <w:t xml:space="preserve"> and </w:t>
      </w:r>
      <w:r w:rsidR="00A36498">
        <w:t>new limits need</w:t>
      </w:r>
      <w:r>
        <w:t xml:space="preserve"> to be approved by CFO and CCO</w:t>
      </w:r>
      <w:r w:rsidR="00805D79">
        <w:t>.</w:t>
      </w:r>
    </w:p>
    <w:p w14:paraId="54A1D272" w14:textId="77777777" w:rsidR="000B4756" w:rsidRDefault="000B4756" w:rsidP="004468D8">
      <w:pPr>
        <w:pStyle w:val="ListParagraph"/>
        <w:ind w:left="2410"/>
      </w:pPr>
    </w:p>
    <w:p w14:paraId="54A1D273" w14:textId="77777777" w:rsidR="00FD2C14" w:rsidRPr="004468D8" w:rsidRDefault="00FD2C14" w:rsidP="004468D8">
      <w:pPr>
        <w:pStyle w:val="ListParagraph"/>
        <w:numPr>
          <w:ilvl w:val="2"/>
          <w:numId w:val="6"/>
        </w:numPr>
        <w:contextualSpacing w:val="0"/>
        <w:rPr>
          <w:b/>
        </w:rPr>
      </w:pPr>
      <w:r w:rsidRPr="004468D8">
        <w:rPr>
          <w:b/>
        </w:rPr>
        <w:t>Re-dating</w:t>
      </w:r>
    </w:p>
    <w:p w14:paraId="54A1D274" w14:textId="77777777" w:rsidR="00FD2C14" w:rsidRPr="004468D8" w:rsidRDefault="00FD2C14" w:rsidP="004468D8">
      <w:pPr>
        <w:pStyle w:val="ListParagraph"/>
        <w:ind w:left="2160"/>
        <w:contextualSpacing w:val="0"/>
      </w:pPr>
      <w:r w:rsidRPr="004468D8">
        <w:t>Under no circumstances is it permitted to re-date receivables by modifying any part of the underlying receivables data</w:t>
      </w:r>
      <w:r w:rsidR="000B4756">
        <w:t>.</w:t>
      </w:r>
    </w:p>
    <w:p w14:paraId="54A1D275" w14:textId="77777777" w:rsidR="00C22468" w:rsidRDefault="00FD2C14" w:rsidP="00B54E66">
      <w:pPr>
        <w:pStyle w:val="Heading3"/>
        <w:numPr>
          <w:ilvl w:val="1"/>
          <w:numId w:val="6"/>
        </w:numPr>
      </w:pPr>
      <w:bookmarkStart w:id="17" w:name="_Toc387826717"/>
      <w:r>
        <w:t>Bad Debt Allowanc</w:t>
      </w:r>
      <w:r w:rsidR="00734E37">
        <w:t>e</w:t>
      </w:r>
      <w:bookmarkEnd w:id="17"/>
    </w:p>
    <w:p w14:paraId="54A1D276" w14:textId="77777777" w:rsidR="00FD2C14" w:rsidRPr="004468D8" w:rsidRDefault="00C22468" w:rsidP="004468D8">
      <w:pPr>
        <w:pStyle w:val="ListParagraph"/>
        <w:numPr>
          <w:ilvl w:val="2"/>
          <w:numId w:val="6"/>
        </w:numPr>
        <w:contextualSpacing w:val="0"/>
        <w:rPr>
          <w:b/>
        </w:rPr>
      </w:pPr>
      <w:r w:rsidRPr="004468D8">
        <w:rPr>
          <w:b/>
        </w:rPr>
        <w:t>General</w:t>
      </w:r>
    </w:p>
    <w:p w14:paraId="54A1D277" w14:textId="77777777" w:rsidR="00FD2C14" w:rsidRDefault="00FD2C14" w:rsidP="004468D8">
      <w:pPr>
        <w:pStyle w:val="ListParagraph"/>
        <w:numPr>
          <w:ilvl w:val="3"/>
          <w:numId w:val="6"/>
        </w:numPr>
        <w:ind w:left="2127" w:hanging="284"/>
      </w:pPr>
      <w:r>
        <w:t>Decisions are to be based on and substantiated through available facts</w:t>
      </w:r>
      <w:r w:rsidR="000B4756">
        <w:t xml:space="preserve"> i.e. </w:t>
      </w:r>
      <w:r>
        <w:t>customer history</w:t>
      </w:r>
      <w:r w:rsidR="000B4756">
        <w:t xml:space="preserve"> of payment</w:t>
      </w:r>
      <w:r>
        <w:t>, credit reports or scores, etc.</w:t>
      </w:r>
      <w:r w:rsidR="00BD2CC2">
        <w:t xml:space="preserve"> </w:t>
      </w:r>
      <w:r>
        <w:t>supplemented with the individual controller’s judgement.</w:t>
      </w:r>
    </w:p>
    <w:p w14:paraId="54A1D278" w14:textId="77777777" w:rsidR="00BD2CC2" w:rsidRDefault="00BD2CC2" w:rsidP="004468D8">
      <w:pPr>
        <w:pStyle w:val="ListParagraph"/>
        <w:ind w:left="2127"/>
      </w:pPr>
    </w:p>
    <w:p w14:paraId="54A1D279" w14:textId="77777777" w:rsidR="00BD2CC2" w:rsidRDefault="00FD2C14" w:rsidP="004468D8">
      <w:pPr>
        <w:pStyle w:val="ListParagraph"/>
        <w:numPr>
          <w:ilvl w:val="3"/>
          <w:numId w:val="6"/>
        </w:numPr>
        <w:ind w:left="2127" w:hanging="284"/>
      </w:pPr>
      <w:r>
        <w:t>The bad debt provision should only cover overdue positions that are not covered by credit insurance, letters of credit or bank guarantees</w:t>
      </w:r>
      <w:r w:rsidR="00BD2CC2">
        <w:t>.</w:t>
      </w:r>
    </w:p>
    <w:p w14:paraId="54A1D27A" w14:textId="77777777" w:rsidR="00FD2C14" w:rsidRDefault="00FD2C14" w:rsidP="004468D8"/>
    <w:p w14:paraId="54A1D27B" w14:textId="77777777" w:rsidR="00FD2C14" w:rsidRDefault="00FD2C14" w:rsidP="004468D8">
      <w:pPr>
        <w:pStyle w:val="ListParagraph"/>
        <w:numPr>
          <w:ilvl w:val="3"/>
          <w:numId w:val="6"/>
        </w:numPr>
        <w:ind w:left="2127" w:hanging="284"/>
      </w:pPr>
      <w:r>
        <w:t xml:space="preserve">Accounts that have seized operations or have entered into bankruptcy should be classified as non-going concern; action should be taken to recover our receivables (Pending a cost benefit analysis if </w:t>
      </w:r>
      <w:r w:rsidR="00AC7637">
        <w:t>costs are</w:t>
      </w:r>
      <w:r>
        <w:t xml:space="preserve"> involved in the recovery) and the account classed as Legal A/R, indicating the non-trading nature and risk of the position. All debt in legal accounts needs to be provided for at 100%. </w:t>
      </w:r>
    </w:p>
    <w:p w14:paraId="54A1D27C" w14:textId="77777777" w:rsidR="00FD2C14" w:rsidRDefault="00FD2C14" w:rsidP="004468D8">
      <w:pPr>
        <w:pStyle w:val="ListParagraph"/>
        <w:ind w:left="2127" w:hanging="284"/>
      </w:pPr>
    </w:p>
    <w:p w14:paraId="54A1D27D" w14:textId="77777777" w:rsidR="00FD2C14" w:rsidRDefault="00FD2C14" w:rsidP="004468D8">
      <w:pPr>
        <w:pStyle w:val="ListParagraph"/>
        <w:numPr>
          <w:ilvl w:val="3"/>
          <w:numId w:val="6"/>
        </w:numPr>
        <w:ind w:left="2127" w:hanging="284"/>
      </w:pPr>
      <w:r>
        <w:t>Unless there are legal issues that prevent the recovery of VAT associated with a bad debt write off VAT should not be reserved as bad debt.</w:t>
      </w:r>
    </w:p>
    <w:p w14:paraId="54A1D27E" w14:textId="77777777" w:rsidR="00FD2C14" w:rsidRDefault="00FD2C14" w:rsidP="004468D8">
      <w:pPr>
        <w:pStyle w:val="ListParagraph"/>
        <w:ind w:left="2127" w:hanging="284"/>
      </w:pPr>
    </w:p>
    <w:p w14:paraId="54A1D27F" w14:textId="77777777" w:rsidR="00FD2C14" w:rsidRDefault="00BD2CC2" w:rsidP="004468D8">
      <w:pPr>
        <w:pStyle w:val="ListParagraph"/>
        <w:numPr>
          <w:ilvl w:val="3"/>
          <w:numId w:val="6"/>
        </w:numPr>
        <w:ind w:left="2127" w:hanging="284"/>
      </w:pPr>
      <w:r>
        <w:t>A</w:t>
      </w:r>
      <w:r w:rsidR="00FD2C14">
        <w:t xml:space="preserve"> claim that is secured fully or partially through credit insurance or letters of credit should not additionally be reserved for. </w:t>
      </w:r>
    </w:p>
    <w:p w14:paraId="54A1D280" w14:textId="77777777" w:rsidR="00FD2C14" w:rsidRDefault="00FD2C14" w:rsidP="004468D8">
      <w:pPr>
        <w:pStyle w:val="ListParagraph"/>
        <w:ind w:left="2127" w:hanging="284"/>
      </w:pPr>
    </w:p>
    <w:p w14:paraId="54A1D281" w14:textId="77777777" w:rsidR="00FD2C14" w:rsidRDefault="00FD2C14" w:rsidP="004468D8">
      <w:pPr>
        <w:pStyle w:val="ListParagraph"/>
        <w:numPr>
          <w:ilvl w:val="3"/>
          <w:numId w:val="6"/>
        </w:numPr>
        <w:ind w:left="2127" w:hanging="284"/>
      </w:pPr>
      <w:r>
        <w:t xml:space="preserve">On a quarterly basis a reconciliation of the bad debt reserve needs to be submitted as part of the close package for that </w:t>
      </w:r>
      <w:r w:rsidR="00BD2CC2">
        <w:t xml:space="preserve">reporting </w:t>
      </w:r>
      <w:r>
        <w:t xml:space="preserve">period </w:t>
      </w:r>
      <w:r w:rsidR="00BD2CC2">
        <w:t xml:space="preserve">i.e. </w:t>
      </w:r>
      <w:r w:rsidR="00F62C5B">
        <w:t>March, June, September and December</w:t>
      </w:r>
      <w:r w:rsidR="00BD2CC2">
        <w:t>.</w:t>
      </w:r>
    </w:p>
    <w:p w14:paraId="54A1D282" w14:textId="77777777" w:rsidR="00C22468" w:rsidRDefault="00C22468" w:rsidP="004468D8"/>
    <w:p w14:paraId="54A1D283" w14:textId="77777777" w:rsidR="00FD2C14" w:rsidRPr="004468D8" w:rsidRDefault="00FD2C14" w:rsidP="004468D8">
      <w:pPr>
        <w:pStyle w:val="ListParagraph"/>
        <w:numPr>
          <w:ilvl w:val="2"/>
          <w:numId w:val="6"/>
        </w:numPr>
        <w:contextualSpacing w:val="0"/>
        <w:rPr>
          <w:b/>
        </w:rPr>
      </w:pPr>
      <w:r w:rsidRPr="004468D8">
        <w:rPr>
          <w:b/>
        </w:rPr>
        <w:t xml:space="preserve">Bad Debt </w:t>
      </w:r>
      <w:r w:rsidR="00C22468">
        <w:rPr>
          <w:b/>
        </w:rPr>
        <w:t>R</w:t>
      </w:r>
      <w:r w:rsidRPr="004468D8">
        <w:rPr>
          <w:b/>
        </w:rPr>
        <w:t>eserves</w:t>
      </w:r>
    </w:p>
    <w:p w14:paraId="54A1D284" w14:textId="77777777" w:rsidR="00FD2C14" w:rsidRDefault="00BD2CC2" w:rsidP="004468D8">
      <w:pPr>
        <w:pStyle w:val="ListParagraph"/>
        <w:numPr>
          <w:ilvl w:val="3"/>
          <w:numId w:val="6"/>
        </w:numPr>
        <w:ind w:left="2127" w:hanging="284"/>
        <w:contextualSpacing w:val="0"/>
      </w:pPr>
      <w:r>
        <w:t>It</w:t>
      </w:r>
      <w:r w:rsidR="00FF3C56">
        <w:t xml:space="preserve"> </w:t>
      </w:r>
      <w:r w:rsidR="00FD2C14">
        <w:t>is not permissible to create a general reserve</w:t>
      </w:r>
      <w:r>
        <w:t>, that is, all provisions</w:t>
      </w:r>
      <w:r w:rsidR="00FD2C14">
        <w:t xml:space="preserve"> should be </w:t>
      </w:r>
      <w:r>
        <w:t>raised</w:t>
      </w:r>
      <w:r w:rsidR="00FD2C14">
        <w:t xml:space="preserve"> based on specifics</w:t>
      </w:r>
      <w:r>
        <w:t>.</w:t>
      </w:r>
      <w:r w:rsidR="00FD2C14">
        <w:t xml:space="preserve"> </w:t>
      </w:r>
      <w:r>
        <w:t>T</w:t>
      </w:r>
      <w:r w:rsidR="00FD2C14">
        <w:t xml:space="preserve">he only exemption is a calculation of a general reserve based on historical patterns. </w:t>
      </w:r>
      <w:r w:rsidR="000726BD">
        <w:t xml:space="preserve">Group Finance will issue guidelines and a template to calculate any general reserve for receivables. No other general reserve is permitted. </w:t>
      </w:r>
      <w:r w:rsidR="00FD2C14">
        <w:t xml:space="preserve"> </w:t>
      </w:r>
    </w:p>
    <w:p w14:paraId="54A1D285" w14:textId="77777777" w:rsidR="00FD2C14" w:rsidRDefault="00FD2C14" w:rsidP="00BD2CC2">
      <w:pPr>
        <w:pStyle w:val="ListParagraph"/>
        <w:ind w:left="2127" w:hanging="284"/>
      </w:pPr>
    </w:p>
    <w:p w14:paraId="54A1D286" w14:textId="77777777" w:rsidR="00FD2C14" w:rsidRDefault="00FD2C14" w:rsidP="004468D8">
      <w:pPr>
        <w:pStyle w:val="ListParagraph"/>
        <w:numPr>
          <w:ilvl w:val="3"/>
          <w:numId w:val="6"/>
        </w:numPr>
        <w:ind w:left="2127" w:hanging="284"/>
        <w:contextualSpacing w:val="0"/>
      </w:pPr>
      <w:r>
        <w:t>The specific reserve should be created based on a monthly review of all receivables balances, with a focus on accounts with overdue</w:t>
      </w:r>
      <w:r w:rsidR="00BD2CC2">
        <w:t xml:space="preserve"> balances</w:t>
      </w:r>
      <w:r>
        <w:t xml:space="preserve">. Similarly, </w:t>
      </w:r>
      <w:r w:rsidR="00AC7637">
        <w:t>all existing</w:t>
      </w:r>
      <w:r w:rsidR="000726BD">
        <w:t xml:space="preserve"> </w:t>
      </w:r>
      <w:r>
        <w:t xml:space="preserve">bad debt positions need to be reviewed, and if needed, updated on a monthly basis. </w:t>
      </w:r>
    </w:p>
    <w:p w14:paraId="54A1D287" w14:textId="77777777" w:rsidR="00FD2C14" w:rsidRDefault="00FD2C14" w:rsidP="00BD2CC2">
      <w:pPr>
        <w:pStyle w:val="ListParagraph"/>
        <w:ind w:left="2127" w:hanging="284"/>
      </w:pPr>
    </w:p>
    <w:p w14:paraId="54A1D288" w14:textId="77777777" w:rsidR="00FD2C14" w:rsidRDefault="00FD2C14" w:rsidP="004468D8">
      <w:pPr>
        <w:pStyle w:val="ListParagraph"/>
        <w:numPr>
          <w:ilvl w:val="3"/>
          <w:numId w:val="6"/>
        </w:numPr>
        <w:ind w:left="2127" w:hanging="284"/>
        <w:contextualSpacing w:val="0"/>
      </w:pPr>
      <w:r>
        <w:t>Where possible</w:t>
      </w:r>
      <w:r w:rsidR="003E5497">
        <w:t xml:space="preserve"> </w:t>
      </w:r>
      <w:r>
        <w:t>and legally permissible</w:t>
      </w:r>
      <w:r w:rsidR="003E5497">
        <w:t>,</w:t>
      </w:r>
      <w:r>
        <w:t xml:space="preserve"> bad debt should be offset by recovering any claims towards the customer (such as credit notes) against the outstanding receivables balance.</w:t>
      </w:r>
    </w:p>
    <w:p w14:paraId="54A1D289" w14:textId="77777777" w:rsidR="00FD2C14" w:rsidRDefault="00FD2C14" w:rsidP="00BD2CC2">
      <w:pPr>
        <w:ind w:left="2127" w:hanging="284"/>
      </w:pPr>
    </w:p>
    <w:p w14:paraId="54A1D28A" w14:textId="77777777" w:rsidR="00FD2C14" w:rsidRDefault="00FD2C14" w:rsidP="004468D8">
      <w:pPr>
        <w:pStyle w:val="ListParagraph"/>
        <w:numPr>
          <w:ilvl w:val="3"/>
          <w:numId w:val="6"/>
        </w:numPr>
        <w:ind w:left="2127" w:hanging="284"/>
        <w:contextualSpacing w:val="0"/>
      </w:pPr>
      <w:r>
        <w:t>A balance can only be discharged from the balance sheet when there is certainty that this will not impact any on-going claims, including results from legal action or VAT recovery. When discharging a receivables position the Financial Controller should follow the following guidelines</w:t>
      </w:r>
      <w:r w:rsidR="003E5497">
        <w:t>:</w:t>
      </w:r>
    </w:p>
    <w:p w14:paraId="54A1D28B" w14:textId="77777777" w:rsidR="003E5497" w:rsidRDefault="003E5497" w:rsidP="004468D8">
      <w:pPr>
        <w:pStyle w:val="ListParagraph"/>
      </w:pPr>
    </w:p>
    <w:tbl>
      <w:tblPr>
        <w:tblStyle w:val="TableGrid"/>
        <w:tblW w:w="0" w:type="auto"/>
        <w:tblInd w:w="2575" w:type="dxa"/>
        <w:tblLook w:val="04A0" w:firstRow="1" w:lastRow="0" w:firstColumn="1" w:lastColumn="0" w:noHBand="0" w:noVBand="1"/>
      </w:tblPr>
      <w:tblGrid>
        <w:gridCol w:w="3307"/>
        <w:gridCol w:w="3307"/>
      </w:tblGrid>
      <w:tr w:rsidR="003E5497" w:rsidRPr="0053152A" w14:paraId="54A1D28E" w14:textId="77777777" w:rsidTr="004468D8">
        <w:trPr>
          <w:trHeight w:val="262"/>
        </w:trPr>
        <w:tc>
          <w:tcPr>
            <w:tcW w:w="3307" w:type="dxa"/>
            <w:shd w:val="clear" w:color="auto" w:fill="8DB3E2" w:themeFill="text2" w:themeFillTint="66"/>
            <w:vAlign w:val="center"/>
          </w:tcPr>
          <w:p w14:paraId="54A1D28C" w14:textId="77777777" w:rsidR="003E5497" w:rsidRPr="0053152A" w:rsidRDefault="003746D3" w:rsidP="004468D8">
            <w:pPr>
              <w:jc w:val="center"/>
              <w:rPr>
                <w:b/>
              </w:rPr>
            </w:pPr>
            <w:r w:rsidRPr="0053152A">
              <w:rPr>
                <w:b/>
              </w:rPr>
              <w:t>Balance</w:t>
            </w:r>
          </w:p>
        </w:tc>
        <w:tc>
          <w:tcPr>
            <w:tcW w:w="3307" w:type="dxa"/>
            <w:shd w:val="clear" w:color="auto" w:fill="8DB3E2" w:themeFill="text2" w:themeFillTint="66"/>
            <w:vAlign w:val="center"/>
          </w:tcPr>
          <w:p w14:paraId="54A1D28D" w14:textId="77777777" w:rsidR="003E5497" w:rsidRPr="0053152A" w:rsidRDefault="003746D3" w:rsidP="004468D8">
            <w:pPr>
              <w:jc w:val="center"/>
              <w:rPr>
                <w:b/>
              </w:rPr>
            </w:pPr>
            <w:r w:rsidRPr="0053152A">
              <w:rPr>
                <w:b/>
              </w:rPr>
              <w:t>Authorisation Required</w:t>
            </w:r>
          </w:p>
        </w:tc>
      </w:tr>
      <w:tr w:rsidR="003E5497" w:rsidRPr="0053152A" w14:paraId="54A1D291" w14:textId="77777777" w:rsidTr="004468D8">
        <w:trPr>
          <w:trHeight w:hRule="exact" w:val="567"/>
        </w:trPr>
        <w:tc>
          <w:tcPr>
            <w:tcW w:w="3307" w:type="dxa"/>
            <w:vAlign w:val="center"/>
          </w:tcPr>
          <w:p w14:paraId="54A1D28F" w14:textId="77777777" w:rsidR="003E5497" w:rsidRPr="0053152A" w:rsidRDefault="003746D3" w:rsidP="003746D3">
            <w:r w:rsidRPr="0053152A">
              <w:t>&lt; £2,500</w:t>
            </w:r>
          </w:p>
        </w:tc>
        <w:tc>
          <w:tcPr>
            <w:tcW w:w="3307" w:type="dxa"/>
            <w:vAlign w:val="center"/>
          </w:tcPr>
          <w:p w14:paraId="54A1D290" w14:textId="77777777" w:rsidR="003E5497" w:rsidRPr="0053152A" w:rsidRDefault="003746D3" w:rsidP="003746D3">
            <w:r w:rsidRPr="0053152A">
              <w:t>Controller only</w:t>
            </w:r>
          </w:p>
        </w:tc>
      </w:tr>
      <w:tr w:rsidR="003E5497" w:rsidRPr="0053152A" w14:paraId="54A1D294" w14:textId="77777777" w:rsidTr="004468D8">
        <w:trPr>
          <w:trHeight w:hRule="exact" w:val="567"/>
        </w:trPr>
        <w:tc>
          <w:tcPr>
            <w:tcW w:w="3307" w:type="dxa"/>
            <w:vAlign w:val="center"/>
          </w:tcPr>
          <w:p w14:paraId="54A1D292" w14:textId="77777777" w:rsidR="003E5497" w:rsidRPr="0053152A" w:rsidRDefault="003746D3" w:rsidP="003746D3">
            <w:r w:rsidRPr="0053152A">
              <w:t>&gt; £2,500 and &lt; £10,000</w:t>
            </w:r>
          </w:p>
        </w:tc>
        <w:tc>
          <w:tcPr>
            <w:tcW w:w="3307" w:type="dxa"/>
            <w:vAlign w:val="center"/>
          </w:tcPr>
          <w:p w14:paraId="54A1D293" w14:textId="77777777" w:rsidR="003E5497" w:rsidRPr="0053152A" w:rsidRDefault="003746D3" w:rsidP="003746D3">
            <w:r w:rsidRPr="0053152A">
              <w:t>Controller and local GM</w:t>
            </w:r>
          </w:p>
        </w:tc>
      </w:tr>
      <w:tr w:rsidR="003E5497" w:rsidRPr="0053152A" w14:paraId="54A1D297" w14:textId="77777777" w:rsidTr="004468D8">
        <w:trPr>
          <w:trHeight w:hRule="exact" w:val="567"/>
        </w:trPr>
        <w:tc>
          <w:tcPr>
            <w:tcW w:w="3307" w:type="dxa"/>
            <w:vAlign w:val="center"/>
          </w:tcPr>
          <w:p w14:paraId="54A1D295" w14:textId="77777777" w:rsidR="003E5497" w:rsidRPr="0053152A" w:rsidRDefault="003746D3" w:rsidP="003746D3">
            <w:r w:rsidRPr="0053152A">
              <w:t>&gt; £10,000</w:t>
            </w:r>
          </w:p>
        </w:tc>
        <w:tc>
          <w:tcPr>
            <w:tcW w:w="3307" w:type="dxa"/>
            <w:vAlign w:val="center"/>
          </w:tcPr>
          <w:p w14:paraId="54A1D296" w14:textId="77777777" w:rsidR="003E5497" w:rsidRPr="0053152A" w:rsidRDefault="003746D3" w:rsidP="003746D3">
            <w:r w:rsidRPr="0053152A">
              <w:t>Controller, local GM and Group CFO</w:t>
            </w:r>
          </w:p>
        </w:tc>
      </w:tr>
    </w:tbl>
    <w:p w14:paraId="54A1D298" w14:textId="77777777" w:rsidR="003E5497" w:rsidRDefault="003E5497" w:rsidP="004468D8"/>
    <w:p w14:paraId="54A1D299" w14:textId="77777777" w:rsidR="00FD2C14" w:rsidRDefault="00FD2C14" w:rsidP="00B54E66">
      <w:pPr>
        <w:pStyle w:val="Heading3"/>
        <w:numPr>
          <w:ilvl w:val="1"/>
          <w:numId w:val="6"/>
        </w:numPr>
      </w:pPr>
      <w:bookmarkStart w:id="18" w:name="_Toc387826718"/>
      <w:r>
        <w:lastRenderedPageBreak/>
        <w:t>Factoring</w:t>
      </w:r>
      <w:bookmarkEnd w:id="18"/>
    </w:p>
    <w:p w14:paraId="54A1D29A" w14:textId="77777777" w:rsidR="00FD2C14" w:rsidRDefault="00FD2C14" w:rsidP="004468D8">
      <w:pPr>
        <w:pStyle w:val="ListParagraph"/>
        <w:numPr>
          <w:ilvl w:val="3"/>
          <w:numId w:val="6"/>
        </w:numPr>
        <w:ind w:left="2127" w:hanging="284"/>
        <w:contextualSpacing w:val="0"/>
      </w:pPr>
      <w:r>
        <w:t xml:space="preserve">Any factoring should be approved in advance by Group Finance; only factoring without recourse (i.e. only factoring where ColArt is relieved of any financial risk in return for cash) will be considered. </w:t>
      </w:r>
    </w:p>
    <w:p w14:paraId="54A1D29B" w14:textId="77777777" w:rsidR="00FD2C14" w:rsidRDefault="00FD2C14" w:rsidP="004468D8">
      <w:pPr>
        <w:pStyle w:val="ListParagraph"/>
        <w:numPr>
          <w:ilvl w:val="3"/>
          <w:numId w:val="6"/>
        </w:numPr>
        <w:ind w:left="2127" w:hanging="284"/>
        <w:contextualSpacing w:val="0"/>
      </w:pPr>
      <w:r>
        <w:t>Any factoring request needs to substantiate the targeted cost and benefits, and state the cost of factoring in the particular instance</w:t>
      </w:r>
    </w:p>
    <w:p w14:paraId="54A1D29C" w14:textId="77777777" w:rsidR="00EF3DD9" w:rsidRPr="00DD655A" w:rsidRDefault="00EF3DD9" w:rsidP="00670473">
      <w:pPr>
        <w:pStyle w:val="Heading2"/>
        <w:numPr>
          <w:ilvl w:val="0"/>
          <w:numId w:val="26"/>
        </w:numPr>
      </w:pPr>
      <w:bookmarkStart w:id="19" w:name="_Toc387826719"/>
      <w:r w:rsidRPr="00DD655A">
        <w:t>Related Areas and Processes</w:t>
      </w:r>
      <w:bookmarkEnd w:id="19"/>
    </w:p>
    <w:p w14:paraId="54A1D29D" w14:textId="77777777" w:rsidR="00B31B3E" w:rsidRDefault="005310BB" w:rsidP="00B31B3E">
      <w:pPr>
        <w:spacing w:after="200" w:line="276" w:lineRule="auto"/>
        <w:ind w:left="709"/>
        <w:rPr>
          <w:rFonts w:cs="Arial"/>
          <w:bCs/>
        </w:rPr>
      </w:pPr>
      <w:r>
        <w:rPr>
          <w:rFonts w:cs="Arial"/>
          <w:bCs/>
        </w:rPr>
        <w:t>New Customer Set Up</w:t>
      </w:r>
      <w:r w:rsidR="000726BD">
        <w:rPr>
          <w:rFonts w:cs="Arial"/>
          <w:bCs/>
        </w:rPr>
        <w:t>, issuing of credit notes</w:t>
      </w:r>
    </w:p>
    <w:p w14:paraId="54A1D29E" w14:textId="77777777" w:rsidR="00EF3DD9" w:rsidRPr="00DD655A" w:rsidRDefault="00CD27B6" w:rsidP="00670473">
      <w:pPr>
        <w:pStyle w:val="Heading2"/>
        <w:numPr>
          <w:ilvl w:val="0"/>
          <w:numId w:val="26"/>
        </w:numPr>
      </w:pPr>
      <w:bookmarkStart w:id="20" w:name="_Toc387826720"/>
      <w:r>
        <w:t>Issue M</w:t>
      </w:r>
      <w:r w:rsidR="00EF3DD9" w:rsidRPr="00DD655A">
        <w:t xml:space="preserve">anagement </w:t>
      </w:r>
      <w:r>
        <w:t>P</w:t>
      </w:r>
      <w:r w:rsidR="00EF3DD9" w:rsidRPr="00DD655A">
        <w:t>rocess</w:t>
      </w:r>
      <w:bookmarkEnd w:id="20"/>
    </w:p>
    <w:p w14:paraId="54A1D29F" w14:textId="77777777" w:rsidR="00EF3DD9" w:rsidRDefault="00EF3DD9" w:rsidP="00B31B3E">
      <w:pPr>
        <w:spacing w:after="200" w:line="276" w:lineRule="auto"/>
        <w:ind w:left="709"/>
        <w:rPr>
          <w:rFonts w:cs="Arial"/>
          <w:bCs/>
        </w:rPr>
      </w:pPr>
      <w:r w:rsidRPr="00EF3DD9">
        <w:rPr>
          <w:rFonts w:cs="Arial"/>
          <w:bCs/>
        </w:rPr>
        <w:t xml:space="preserve">If application of this policy leads to an issue within the business it should first be raised to the respective </w:t>
      </w:r>
      <w:r w:rsidR="00744DAD">
        <w:rPr>
          <w:rFonts w:cs="Arial"/>
          <w:bCs/>
        </w:rPr>
        <w:t xml:space="preserve">Controller who in turn, if not resolved, will escalate the issue to the CFO. </w:t>
      </w:r>
      <w:r w:rsidRPr="00EF3DD9">
        <w:rPr>
          <w:rFonts w:cs="Arial"/>
          <w:bCs/>
        </w:rPr>
        <w:t xml:space="preserve">  </w:t>
      </w:r>
    </w:p>
    <w:p w14:paraId="54A1D2A0" w14:textId="77777777" w:rsidR="00EF3DD9" w:rsidRDefault="002F2065" w:rsidP="00B31B3E">
      <w:pPr>
        <w:spacing w:after="200" w:line="276" w:lineRule="auto"/>
        <w:ind w:left="709"/>
        <w:rPr>
          <w:rFonts w:cs="Arial"/>
          <w:bCs/>
        </w:rPr>
      </w:pPr>
      <w:r>
        <w:rPr>
          <w:rFonts w:cs="Arial"/>
          <w:bCs/>
        </w:rPr>
        <w:t>Any other information related to issue resolution</w:t>
      </w:r>
      <w:r w:rsidR="00EF3DD9">
        <w:rPr>
          <w:rFonts w:cs="Arial"/>
          <w:bCs/>
        </w:rPr>
        <w:br w:type="page"/>
      </w:r>
    </w:p>
    <w:p w14:paraId="54A1D2A1" w14:textId="77777777" w:rsidR="00EF3DD9" w:rsidRDefault="00EF3DD9" w:rsidP="00EF3DD9">
      <w:pPr>
        <w:pStyle w:val="Heading1"/>
      </w:pPr>
      <w:bookmarkStart w:id="21" w:name="_Toc387826721"/>
      <w:r>
        <w:lastRenderedPageBreak/>
        <w:t>Appendix</w:t>
      </w:r>
      <w:bookmarkEnd w:id="21"/>
    </w:p>
    <w:p w14:paraId="54A1D2A2" w14:textId="77777777" w:rsidR="00562548" w:rsidRDefault="00EF3DD9" w:rsidP="00EF3DD9">
      <w:pPr>
        <w:rPr>
          <w:rFonts w:cs="Arial"/>
          <w:bCs/>
        </w:rPr>
      </w:pPr>
      <w:r>
        <w:rPr>
          <w:rFonts w:cs="Arial"/>
          <w:bCs/>
        </w:rPr>
        <w:t>Additional reference information for the Policy</w:t>
      </w:r>
    </w:p>
    <w:p w14:paraId="54A1D2A3" w14:textId="77777777" w:rsidR="00FD2C14" w:rsidRDefault="00FD2C14" w:rsidP="00EF3DD9">
      <w:pPr>
        <w:rPr>
          <w:rFonts w:cs="Arial"/>
          <w:bCs/>
        </w:rPr>
      </w:pPr>
    </w:p>
    <w:p w14:paraId="54A1D2A4" w14:textId="77777777" w:rsidR="00FD2C14" w:rsidRDefault="00FD2C14" w:rsidP="00EF3DD9">
      <w:pPr>
        <w:rPr>
          <w:rFonts w:cs="Arial"/>
          <w:bCs/>
        </w:rPr>
      </w:pPr>
    </w:p>
    <w:p w14:paraId="54A1D2A5" w14:textId="77777777" w:rsidR="00FD2C14" w:rsidRDefault="00FD2C14" w:rsidP="00EF3DD9">
      <w:pPr>
        <w:rPr>
          <w:rFonts w:cs="Arial"/>
          <w:bCs/>
        </w:rPr>
      </w:pPr>
    </w:p>
    <w:p w14:paraId="54A1D2A6" w14:textId="77777777" w:rsidR="00FD2C14" w:rsidRDefault="00FD2C14" w:rsidP="00FD2C14"/>
    <w:p w14:paraId="54A1D2A7" w14:textId="77777777" w:rsidR="00FD2C14" w:rsidRPr="00562548" w:rsidRDefault="00FD2C14" w:rsidP="00EF3DD9">
      <w:pPr>
        <w:rPr>
          <w:rFonts w:cs="Arial"/>
          <w:bCs/>
        </w:rPr>
      </w:pPr>
    </w:p>
    <w:sectPr w:rsidR="00FD2C14" w:rsidRPr="00562548" w:rsidSect="00622AD9">
      <w:headerReference w:type="default" r:id="rId13"/>
      <w:footerReference w:type="default" r:id="rId14"/>
      <w:pgSz w:w="11906" w:h="16838"/>
      <w:pgMar w:top="1528" w:right="1440" w:bottom="1440" w:left="1440" w:header="426"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Doreen Lee" w:date="2014-05-22T17:14:00Z" w:initials="DL">
    <w:p w14:paraId="54A1D2A8" w14:textId="77777777" w:rsidR="00522211" w:rsidRDefault="00522211">
      <w:pPr>
        <w:pStyle w:val="CommentText"/>
      </w:pPr>
      <w:r>
        <w:rPr>
          <w:rStyle w:val="CommentReference"/>
        </w:rPr>
        <w:annotationRef/>
      </w:r>
      <w:r>
        <w:t>Need to confirm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1D2AB" w14:textId="77777777" w:rsidR="00960B49" w:rsidRDefault="00960B49" w:rsidP="00622AD9">
      <w:r>
        <w:separator/>
      </w:r>
    </w:p>
  </w:endnote>
  <w:endnote w:type="continuationSeparator" w:id="0">
    <w:p w14:paraId="54A1D2AC" w14:textId="77777777" w:rsidR="00960B49" w:rsidRDefault="00960B49"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2AF" w14:textId="77777777" w:rsidR="008F16F7" w:rsidRPr="00EF3DD9" w:rsidRDefault="008F16F7" w:rsidP="00622AD9">
    <w:pPr>
      <w:pStyle w:val="Footer"/>
      <w:pBdr>
        <w:top w:val="single" w:sz="4" w:space="1" w:color="auto"/>
      </w:pBdr>
      <w:rPr>
        <w:sz w:val="16"/>
        <w:szCs w:val="16"/>
      </w:rPr>
    </w:pPr>
    <w:r>
      <w:rPr>
        <w:sz w:val="16"/>
        <w:szCs w:val="16"/>
      </w:rPr>
      <w:t>ColArt Group Accounts Receivables Policy</w:t>
    </w:r>
    <w:r w:rsidRPr="00EF3DD9">
      <w:rPr>
        <w:sz w:val="16"/>
        <w:szCs w:val="16"/>
      </w:rPr>
      <w:tab/>
    </w:r>
    <w:r>
      <w:rPr>
        <w:sz w:val="16"/>
        <w:szCs w:val="16"/>
      </w:rPr>
      <w:t>Group Finance</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E93DBC">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E93DBC">
              <w:rPr>
                <w:b/>
                <w:bCs/>
                <w:noProof/>
                <w:sz w:val="16"/>
                <w:szCs w:val="16"/>
              </w:rPr>
              <w:t>11</w:t>
            </w:r>
            <w:r w:rsidRPr="00EF3DD9">
              <w:rPr>
                <w:b/>
                <w:bCs/>
                <w:sz w:val="16"/>
                <w:szCs w:val="16"/>
              </w:rPr>
              <w:fldChar w:fldCharType="end"/>
            </w:r>
          </w:sdtContent>
        </w:sdt>
      </w:sdtContent>
    </w:sdt>
  </w:p>
  <w:p w14:paraId="54A1D2B0" w14:textId="77777777" w:rsidR="008F16F7" w:rsidRPr="00EF3DD9" w:rsidRDefault="008F16F7" w:rsidP="00622AD9">
    <w:pPr>
      <w:pStyle w:val="Footer"/>
      <w:pBdr>
        <w:top w:val="single" w:sz="4" w:space="1" w:color="auto"/>
      </w:pBd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D2A9" w14:textId="77777777" w:rsidR="00960B49" w:rsidRDefault="00960B49" w:rsidP="00622AD9">
      <w:r>
        <w:separator/>
      </w:r>
    </w:p>
  </w:footnote>
  <w:footnote w:type="continuationSeparator" w:id="0">
    <w:p w14:paraId="54A1D2AA" w14:textId="77777777" w:rsidR="00960B49" w:rsidRDefault="00960B49"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2AD" w14:textId="77777777" w:rsidR="008F16F7" w:rsidRPr="00562548" w:rsidRDefault="008F16F7" w:rsidP="0062729E">
    <w:r>
      <w:rPr>
        <w:noProof/>
        <w:lang w:eastAsia="zh-CN"/>
      </w:rPr>
      <w:drawing>
        <wp:inline distT="0" distB="0" distL="0" distR="0" wp14:anchorId="54A1D2B1" wp14:editId="54A1D2B2">
          <wp:extent cx="1742533"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Finance: Acc</w:t>
    </w:r>
    <w:r w:rsidRPr="0062729E">
      <w:rPr>
        <w:sz w:val="16"/>
        <w:szCs w:val="16"/>
      </w:rPr>
      <w:t>ounts Receivable and Credit</w:t>
    </w:r>
    <w:r>
      <w:rPr>
        <w:sz w:val="16"/>
        <w:szCs w:val="16"/>
      </w:rPr>
      <w:t xml:space="preserve"> administration policy</w:t>
    </w:r>
    <w:r>
      <w:t xml:space="preserve"> </w:t>
    </w:r>
  </w:p>
  <w:p w14:paraId="54A1D2AE" w14:textId="77777777" w:rsidR="008F16F7" w:rsidRPr="00622AD9" w:rsidRDefault="008F16F7" w:rsidP="00622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874"/>
    <w:multiLevelType w:val="hybridMultilevel"/>
    <w:tmpl w:val="42F6456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nsid w:val="017477FE"/>
    <w:multiLevelType w:val="multilevel"/>
    <w:tmpl w:val="4DB45452"/>
    <w:lvl w:ilvl="0">
      <w:start w:val="4"/>
      <w:numFmt w:val="decimal"/>
      <w:lvlText w:val="%1"/>
      <w:lvlJc w:val="left"/>
      <w:pPr>
        <w:ind w:left="405" w:hanging="405"/>
      </w:pPr>
      <w:rPr>
        <w:rFonts w:hint="default"/>
      </w:rPr>
    </w:lvl>
    <w:lvl w:ilvl="1">
      <w:start w:val="10"/>
      <w:numFmt w:val="decimal"/>
      <w:lvlText w:val="%1.%2"/>
      <w:lvlJc w:val="left"/>
      <w:pPr>
        <w:ind w:left="1440" w:hanging="720"/>
      </w:pPr>
      <w:rPr>
        <w:rFonts w:hint="default"/>
      </w:rPr>
    </w:lvl>
    <w:lvl w:ilvl="2">
      <w:start w:val="1"/>
      <w:numFmt w:val="lowerRoman"/>
      <w:lvlText w:val="%3."/>
      <w:lvlJc w:val="left"/>
      <w:pPr>
        <w:ind w:left="2160" w:hanging="720"/>
      </w:pPr>
      <w:rPr>
        <w:rFonts w:ascii="Arial" w:eastAsiaTheme="minorHAnsi" w:hAnsi="Arial" w:cstheme="minorBidi"/>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36D1671"/>
    <w:multiLevelType w:val="hybridMultilevel"/>
    <w:tmpl w:val="4C1C2F5A"/>
    <w:lvl w:ilvl="0" w:tplc="61B25C2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0530389D"/>
    <w:multiLevelType w:val="hybridMultilevel"/>
    <w:tmpl w:val="DD242BEC"/>
    <w:lvl w:ilvl="0" w:tplc="0809000F">
      <w:start w:val="1"/>
      <w:numFmt w:val="decimal"/>
      <w:lvlText w:val="%1."/>
      <w:lvlJc w:val="left"/>
      <w:pPr>
        <w:ind w:left="720" w:hanging="360"/>
      </w:pPr>
      <w:rPr>
        <w:rFonts w:hint="default"/>
      </w:rPr>
    </w:lvl>
    <w:lvl w:ilvl="1" w:tplc="907EA8B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58A89102">
      <w:start w:val="2"/>
      <w:numFmt w:val="bullet"/>
      <w:lvlText w:val="-"/>
      <w:lvlJc w:val="left"/>
      <w:pPr>
        <w:ind w:left="5040" w:hanging="360"/>
      </w:pPr>
      <w:rPr>
        <w:rFonts w:ascii="Arial" w:eastAsiaTheme="minorHAnsi" w:hAnsi="Arial" w:cs="Arial" w:hint="default"/>
      </w:rPr>
    </w:lvl>
    <w:lvl w:ilvl="7" w:tplc="733A0288">
      <w:start w:val="3"/>
      <w:numFmt w:val="bullet"/>
      <w:lvlText w:val=""/>
      <w:lvlJc w:val="left"/>
      <w:pPr>
        <w:ind w:left="5760" w:hanging="360"/>
      </w:pPr>
      <w:rPr>
        <w:rFonts w:ascii="Wingdings" w:eastAsiaTheme="minorHAnsi" w:hAnsi="Wingdings" w:cstheme="minorBidi" w:hint="default"/>
      </w:rPr>
    </w:lvl>
    <w:lvl w:ilvl="8" w:tplc="0809001B" w:tentative="1">
      <w:start w:val="1"/>
      <w:numFmt w:val="lowerRoman"/>
      <w:lvlText w:val="%9."/>
      <w:lvlJc w:val="right"/>
      <w:pPr>
        <w:ind w:left="6480" w:hanging="180"/>
      </w:pPr>
    </w:lvl>
  </w:abstractNum>
  <w:abstractNum w:abstractNumId="4">
    <w:nsid w:val="0A1B5E22"/>
    <w:multiLevelType w:val="hybridMultilevel"/>
    <w:tmpl w:val="18E8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E5665"/>
    <w:multiLevelType w:val="hybridMultilevel"/>
    <w:tmpl w:val="23C6C414"/>
    <w:lvl w:ilvl="0" w:tplc="08E81C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7C46659"/>
    <w:multiLevelType w:val="hybridMultilevel"/>
    <w:tmpl w:val="23C6C414"/>
    <w:lvl w:ilvl="0" w:tplc="08E81C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C0117AE"/>
    <w:multiLevelType w:val="multilevel"/>
    <w:tmpl w:val="C19E5948"/>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E4A38CA"/>
    <w:multiLevelType w:val="hybridMultilevel"/>
    <w:tmpl w:val="22F09A1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9">
    <w:nsid w:val="1F8907E1"/>
    <w:multiLevelType w:val="hybridMultilevel"/>
    <w:tmpl w:val="9B00CC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7023F"/>
    <w:multiLevelType w:val="hybridMultilevel"/>
    <w:tmpl w:val="42F6456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2">
    <w:nsid w:val="467D5B18"/>
    <w:multiLevelType w:val="multilevel"/>
    <w:tmpl w:val="63AAF4AE"/>
    <w:lvl w:ilvl="0">
      <w:start w:val="1"/>
      <w:numFmt w:val="decimal"/>
      <w:pStyle w:val="Heading2"/>
      <w:lvlText w:val="%1."/>
      <w:lvlJc w:val="left"/>
      <w:pPr>
        <w:ind w:left="2771" w:hanging="360"/>
      </w:pPr>
      <w:rPr>
        <w:rFonts w:hint="default"/>
      </w:rPr>
    </w:lvl>
    <w:lvl w:ilvl="1">
      <w:start w:val="1"/>
      <w:numFmt w:val="decimal"/>
      <w:isLgl/>
      <w:lvlText w:val="%1.%2"/>
      <w:lvlJc w:val="left"/>
      <w:pPr>
        <w:ind w:left="3000" w:hanging="480"/>
      </w:pPr>
      <w:rPr>
        <w:rFonts w:hint="default"/>
      </w:rPr>
    </w:lvl>
    <w:lvl w:ilvl="2">
      <w:start w:val="3"/>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3">
    <w:nsid w:val="4BF66653"/>
    <w:multiLevelType w:val="hybridMultilevel"/>
    <w:tmpl w:val="8A1A6D20"/>
    <w:lvl w:ilvl="0" w:tplc="0254B83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D9A632B"/>
    <w:multiLevelType w:val="hybridMultilevel"/>
    <w:tmpl w:val="29BC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C12687"/>
    <w:multiLevelType w:val="hybridMultilevel"/>
    <w:tmpl w:val="1132F36E"/>
    <w:lvl w:ilvl="0" w:tplc="21925930">
      <w:start w:val="1"/>
      <w:numFmt w:val="lowerRoman"/>
      <w:lvlText w:val="%1."/>
      <w:lvlJc w:val="left"/>
      <w:pPr>
        <w:ind w:left="2880" w:hanging="72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nsid w:val="5D5134D6"/>
    <w:multiLevelType w:val="hybridMultilevel"/>
    <w:tmpl w:val="42F6456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7">
    <w:nsid w:val="60FE3351"/>
    <w:multiLevelType w:val="hybridMultilevel"/>
    <w:tmpl w:val="E0BC31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BC26B0"/>
    <w:multiLevelType w:val="hybridMultilevel"/>
    <w:tmpl w:val="23C6C414"/>
    <w:lvl w:ilvl="0" w:tplc="08E81C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73354F1"/>
    <w:multiLevelType w:val="hybridMultilevel"/>
    <w:tmpl w:val="23C6C414"/>
    <w:lvl w:ilvl="0" w:tplc="08E81C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9011EE8"/>
    <w:multiLevelType w:val="multilevel"/>
    <w:tmpl w:val="60368942"/>
    <w:lvl w:ilvl="0">
      <w:start w:val="4"/>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lowerRoman"/>
      <w:lvlText w:val="%4."/>
      <w:lvlJc w:val="left"/>
      <w:pPr>
        <w:ind w:left="3240" w:hanging="1080"/>
      </w:pPr>
      <w:rPr>
        <w:rFonts w:ascii="Arial" w:eastAsiaTheme="minorHAnsi" w:hAnsi="Arial" w:cstheme="minorBidi"/>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A434F69"/>
    <w:multiLevelType w:val="hybridMultilevel"/>
    <w:tmpl w:val="CC6E1C8E"/>
    <w:lvl w:ilvl="0" w:tplc="F4808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7E0AB9"/>
    <w:multiLevelType w:val="hybridMultilevel"/>
    <w:tmpl w:val="F7ECC86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18"/>
  </w:num>
  <w:num w:numId="2">
    <w:abstractNumId w:val="10"/>
  </w:num>
  <w:num w:numId="3">
    <w:abstractNumId w:val="23"/>
  </w:num>
  <w:num w:numId="4">
    <w:abstractNumId w:val="3"/>
  </w:num>
  <w:num w:numId="5">
    <w:abstractNumId w:val="13"/>
  </w:num>
  <w:num w:numId="6">
    <w:abstractNumId w:val="21"/>
  </w:num>
  <w:num w:numId="7">
    <w:abstractNumId w:val="17"/>
  </w:num>
  <w:num w:numId="8">
    <w:abstractNumId w:val="24"/>
  </w:num>
  <w:num w:numId="9">
    <w:abstractNumId w:val="12"/>
  </w:num>
  <w:num w:numId="10">
    <w:abstractNumId w:val="16"/>
  </w:num>
  <w:num w:numId="11">
    <w:abstractNumId w:val="4"/>
  </w:num>
  <w:num w:numId="12">
    <w:abstractNumId w:val="14"/>
  </w:num>
  <w:num w:numId="13">
    <w:abstractNumId w:val="15"/>
  </w:num>
  <w:num w:numId="14">
    <w:abstractNumId w:val="7"/>
  </w:num>
  <w:num w:numId="15">
    <w:abstractNumId w:val="1"/>
  </w:num>
  <w:num w:numId="16">
    <w:abstractNumId w:val="11"/>
  </w:num>
  <w:num w:numId="17">
    <w:abstractNumId w:val="0"/>
  </w:num>
  <w:num w:numId="18">
    <w:abstractNumId w:val="5"/>
  </w:num>
  <w:num w:numId="19">
    <w:abstractNumId w:val="2"/>
  </w:num>
  <w:num w:numId="20">
    <w:abstractNumId w:val="8"/>
  </w:num>
  <w:num w:numId="21">
    <w:abstractNumId w:val="6"/>
  </w:num>
  <w:num w:numId="22">
    <w:abstractNumId w:val="20"/>
  </w:num>
  <w:num w:numId="23">
    <w:abstractNumId w:val="19"/>
  </w:num>
  <w:num w:numId="24">
    <w:abstractNumId w:val="22"/>
  </w:num>
  <w:num w:numId="25">
    <w:abstractNumId w:val="12"/>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20448"/>
    <w:rsid w:val="000328C1"/>
    <w:rsid w:val="000726BD"/>
    <w:rsid w:val="00085689"/>
    <w:rsid w:val="000A7C7E"/>
    <w:rsid w:val="000B4756"/>
    <w:rsid w:val="000C5D36"/>
    <w:rsid w:val="001106DF"/>
    <w:rsid w:val="00121721"/>
    <w:rsid w:val="001276FF"/>
    <w:rsid w:val="00140CF0"/>
    <w:rsid w:val="00150BA8"/>
    <w:rsid w:val="00150D7C"/>
    <w:rsid w:val="00153BCF"/>
    <w:rsid w:val="00161573"/>
    <w:rsid w:val="001921E3"/>
    <w:rsid w:val="001A4743"/>
    <w:rsid w:val="00273E77"/>
    <w:rsid w:val="002C1A66"/>
    <w:rsid w:val="002F2065"/>
    <w:rsid w:val="00315C5A"/>
    <w:rsid w:val="003746D3"/>
    <w:rsid w:val="00374A48"/>
    <w:rsid w:val="00377BCE"/>
    <w:rsid w:val="0038202D"/>
    <w:rsid w:val="003910FF"/>
    <w:rsid w:val="003972D6"/>
    <w:rsid w:val="003D22BF"/>
    <w:rsid w:val="003E2F3D"/>
    <w:rsid w:val="003E5497"/>
    <w:rsid w:val="00424BE4"/>
    <w:rsid w:val="004468D8"/>
    <w:rsid w:val="0046258A"/>
    <w:rsid w:val="00482664"/>
    <w:rsid w:val="004A2160"/>
    <w:rsid w:val="00522211"/>
    <w:rsid w:val="005310BB"/>
    <w:rsid w:val="0053152A"/>
    <w:rsid w:val="00540426"/>
    <w:rsid w:val="005519EC"/>
    <w:rsid w:val="00562548"/>
    <w:rsid w:val="005640CF"/>
    <w:rsid w:val="00596B35"/>
    <w:rsid w:val="005C4873"/>
    <w:rsid w:val="005E4BDE"/>
    <w:rsid w:val="00600A0B"/>
    <w:rsid w:val="00622AD9"/>
    <w:rsid w:val="0062729E"/>
    <w:rsid w:val="00631D01"/>
    <w:rsid w:val="00670473"/>
    <w:rsid w:val="006717FF"/>
    <w:rsid w:val="00697E9A"/>
    <w:rsid w:val="006C3807"/>
    <w:rsid w:val="0073392A"/>
    <w:rsid w:val="00734E37"/>
    <w:rsid w:val="00743F81"/>
    <w:rsid w:val="00744DAD"/>
    <w:rsid w:val="00793969"/>
    <w:rsid w:val="007B76B8"/>
    <w:rsid w:val="00805D79"/>
    <w:rsid w:val="00854AC1"/>
    <w:rsid w:val="0086165E"/>
    <w:rsid w:val="008C2669"/>
    <w:rsid w:val="008D7C27"/>
    <w:rsid w:val="008F16F7"/>
    <w:rsid w:val="008F7863"/>
    <w:rsid w:val="00915B5B"/>
    <w:rsid w:val="00922B42"/>
    <w:rsid w:val="0092729F"/>
    <w:rsid w:val="00935507"/>
    <w:rsid w:val="00950768"/>
    <w:rsid w:val="00960B49"/>
    <w:rsid w:val="00962351"/>
    <w:rsid w:val="009A18D4"/>
    <w:rsid w:val="00A343EA"/>
    <w:rsid w:val="00A36498"/>
    <w:rsid w:val="00A6630C"/>
    <w:rsid w:val="00A860CF"/>
    <w:rsid w:val="00AC1F5C"/>
    <w:rsid w:val="00AC7629"/>
    <w:rsid w:val="00AC7637"/>
    <w:rsid w:val="00AE21F5"/>
    <w:rsid w:val="00AF0754"/>
    <w:rsid w:val="00AF6B00"/>
    <w:rsid w:val="00B01CB5"/>
    <w:rsid w:val="00B0711E"/>
    <w:rsid w:val="00B31B3E"/>
    <w:rsid w:val="00B54E66"/>
    <w:rsid w:val="00B70D51"/>
    <w:rsid w:val="00B833BF"/>
    <w:rsid w:val="00B864E7"/>
    <w:rsid w:val="00BA2EAF"/>
    <w:rsid w:val="00BB5DB7"/>
    <w:rsid w:val="00BD161E"/>
    <w:rsid w:val="00BD2CC2"/>
    <w:rsid w:val="00BE4417"/>
    <w:rsid w:val="00C22468"/>
    <w:rsid w:val="00C4058D"/>
    <w:rsid w:val="00C57A5A"/>
    <w:rsid w:val="00CA748F"/>
    <w:rsid w:val="00CC65A4"/>
    <w:rsid w:val="00CD27B6"/>
    <w:rsid w:val="00D11145"/>
    <w:rsid w:val="00D50DE3"/>
    <w:rsid w:val="00D52674"/>
    <w:rsid w:val="00DA2103"/>
    <w:rsid w:val="00DC213E"/>
    <w:rsid w:val="00DD655A"/>
    <w:rsid w:val="00E30C7A"/>
    <w:rsid w:val="00E93DBC"/>
    <w:rsid w:val="00EA157A"/>
    <w:rsid w:val="00EB49DD"/>
    <w:rsid w:val="00EF3DD9"/>
    <w:rsid w:val="00F31D61"/>
    <w:rsid w:val="00F54FA0"/>
    <w:rsid w:val="00F62C5B"/>
    <w:rsid w:val="00F9164E"/>
    <w:rsid w:val="00FD2C14"/>
    <w:rsid w:val="00FF3C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1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670473"/>
    <w:pPr>
      <w:keepNext/>
      <w:keepLines/>
      <w:numPr>
        <w:numId w:val="9"/>
      </w:numPr>
      <w:spacing w:before="120" w:after="120"/>
      <w:ind w:left="709"/>
      <w:outlineLvl w:val="1"/>
    </w:pPr>
    <w:rPr>
      <w:rFonts w:eastAsiaTheme="majorEastAsia" w:cs="Arial"/>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670473"/>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 w:type="character" w:styleId="CommentReference">
    <w:name w:val="annotation reference"/>
    <w:basedOn w:val="DefaultParagraphFont"/>
    <w:uiPriority w:val="99"/>
    <w:semiHidden/>
    <w:unhideWhenUsed/>
    <w:rsid w:val="00B70D51"/>
    <w:rPr>
      <w:sz w:val="16"/>
      <w:szCs w:val="16"/>
    </w:rPr>
  </w:style>
  <w:style w:type="paragraph" w:styleId="CommentSubject">
    <w:name w:val="annotation subject"/>
    <w:basedOn w:val="CommentText"/>
    <w:next w:val="CommentText"/>
    <w:link w:val="CommentSubjectChar"/>
    <w:uiPriority w:val="99"/>
    <w:semiHidden/>
    <w:unhideWhenUsed/>
    <w:rsid w:val="00315C5A"/>
    <w:pPr>
      <w:jc w:val="left"/>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315C5A"/>
    <w:rPr>
      <w:rFonts w:ascii="Arial" w:eastAsia="Times New Roman" w:hAnsi="Arial" w:cs="Times New Roman"/>
      <w:b/>
      <w:bCs/>
      <w:sz w:val="20"/>
      <w:szCs w:val="20"/>
    </w:rPr>
  </w:style>
  <w:style w:type="paragraph" w:styleId="Revision">
    <w:name w:val="Revision"/>
    <w:hidden/>
    <w:uiPriority w:val="99"/>
    <w:semiHidden/>
    <w:rsid w:val="00315C5A"/>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670473"/>
    <w:pPr>
      <w:keepNext/>
      <w:keepLines/>
      <w:numPr>
        <w:numId w:val="9"/>
      </w:numPr>
      <w:spacing w:before="120" w:after="120"/>
      <w:ind w:left="709"/>
      <w:outlineLvl w:val="1"/>
    </w:pPr>
    <w:rPr>
      <w:rFonts w:eastAsiaTheme="majorEastAsia" w:cs="Arial"/>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670473"/>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 w:type="character" w:styleId="CommentReference">
    <w:name w:val="annotation reference"/>
    <w:basedOn w:val="DefaultParagraphFont"/>
    <w:uiPriority w:val="99"/>
    <w:semiHidden/>
    <w:unhideWhenUsed/>
    <w:rsid w:val="00B70D51"/>
    <w:rPr>
      <w:sz w:val="16"/>
      <w:szCs w:val="16"/>
    </w:rPr>
  </w:style>
  <w:style w:type="paragraph" w:styleId="CommentSubject">
    <w:name w:val="annotation subject"/>
    <w:basedOn w:val="CommentText"/>
    <w:next w:val="CommentText"/>
    <w:link w:val="CommentSubjectChar"/>
    <w:uiPriority w:val="99"/>
    <w:semiHidden/>
    <w:unhideWhenUsed/>
    <w:rsid w:val="00315C5A"/>
    <w:pPr>
      <w:jc w:val="left"/>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315C5A"/>
    <w:rPr>
      <w:rFonts w:ascii="Arial" w:eastAsia="Times New Roman" w:hAnsi="Arial" w:cs="Times New Roman"/>
      <w:b/>
      <w:bCs/>
      <w:sz w:val="20"/>
      <w:szCs w:val="20"/>
    </w:rPr>
  </w:style>
  <w:style w:type="paragraph" w:styleId="Revision">
    <w:name w:val="Revision"/>
    <w:hidden/>
    <w:uiPriority w:val="99"/>
    <w:semiHidden/>
    <w:rsid w:val="00315C5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Finance</ColArt_Docu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C64A3-3CCF-494B-A284-1F0B9B0A9CFA}"/>
</file>

<file path=customXml/itemProps2.xml><?xml version="1.0" encoding="utf-8"?>
<ds:datastoreItem xmlns:ds="http://schemas.openxmlformats.org/officeDocument/2006/customXml" ds:itemID="{15074DE1-25ED-47DD-803A-277816800C92}"/>
</file>

<file path=customXml/itemProps3.xml><?xml version="1.0" encoding="utf-8"?>
<ds:datastoreItem xmlns:ds="http://schemas.openxmlformats.org/officeDocument/2006/customXml" ds:itemID="{625ED012-C79C-4C78-B839-EF6F757EAF1D}"/>
</file>

<file path=customXml/itemProps4.xml><?xml version="1.0" encoding="utf-8"?>
<ds:datastoreItem xmlns:ds="http://schemas.openxmlformats.org/officeDocument/2006/customXml" ds:itemID="{AC574ACC-438D-4350-8A5D-7CA9B2ADBB8A}"/>
</file>

<file path=docProps/app.xml><?xml version="1.0" encoding="utf-8"?>
<Properties xmlns="http://schemas.openxmlformats.org/officeDocument/2006/extended-properties" xmlns:vt="http://schemas.openxmlformats.org/officeDocument/2006/docPropsVTypes">
  <Template>Normal</Template>
  <TotalTime>0</TotalTime>
  <Pages>11</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ColArt</Company>
  <LinksUpToDate>false</LinksUpToDate>
  <CharactersWithSpaces>16630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3</cp:revision>
  <cp:lastPrinted>2014-03-27T13:40:00Z</cp:lastPrinted>
  <dcterms:created xsi:type="dcterms:W3CDTF">2014-05-25T21:31:00Z</dcterms:created>
  <dcterms:modified xsi:type="dcterms:W3CDTF">2015-03-10T14:32:00Z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3500</vt:r8>
  </property>
</Properties>
</file>