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7E22D" w14:textId="77777777" w:rsidR="00622AD9" w:rsidRPr="00562548" w:rsidRDefault="0062729E" w:rsidP="00EF3DD9">
      <w:pPr>
        <w:pStyle w:val="Heading1"/>
      </w:pPr>
      <w:r>
        <w:t>Finance</w:t>
      </w:r>
    </w:p>
    <w:p w14:paraId="369C8CCC" w14:textId="77777777" w:rsidR="00562548" w:rsidRPr="00562548" w:rsidRDefault="00562548"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6724"/>
      </w:tblGrid>
      <w:tr w:rsidR="00562548" w:rsidRPr="00562548" w14:paraId="0241E15C" w14:textId="77777777" w:rsidTr="00EF3DD9">
        <w:tc>
          <w:tcPr>
            <w:tcW w:w="2518" w:type="dxa"/>
            <w:vAlign w:val="center"/>
          </w:tcPr>
          <w:p w14:paraId="2ED24DA5" w14:textId="77777777" w:rsidR="00562548" w:rsidRPr="00EF3DD9" w:rsidRDefault="00562548" w:rsidP="00EF3DD9">
            <w:pPr>
              <w:pStyle w:val="Tableheadings"/>
            </w:pPr>
            <w:r w:rsidRPr="00EF3DD9">
              <w:t>Document title:</w:t>
            </w:r>
          </w:p>
        </w:tc>
        <w:tc>
          <w:tcPr>
            <w:tcW w:w="6724" w:type="dxa"/>
            <w:vAlign w:val="center"/>
          </w:tcPr>
          <w:p w14:paraId="54F97D1F" w14:textId="42370848" w:rsidR="00562548" w:rsidRPr="00562548" w:rsidRDefault="001E7159" w:rsidP="00EF3DD9">
            <w:r>
              <w:t xml:space="preserve">Finance 003 </w:t>
            </w:r>
            <w:r w:rsidR="006B793B">
              <w:t>Intercompany Invoicing Policy</w:t>
            </w:r>
          </w:p>
        </w:tc>
      </w:tr>
      <w:tr w:rsidR="00562548" w:rsidRPr="00562548" w14:paraId="3B64F8DD" w14:textId="77777777" w:rsidTr="00EF3DD9">
        <w:tc>
          <w:tcPr>
            <w:tcW w:w="2518" w:type="dxa"/>
            <w:vAlign w:val="center"/>
          </w:tcPr>
          <w:p w14:paraId="346F4AC2" w14:textId="77777777" w:rsidR="00562548" w:rsidRPr="00EF3DD9" w:rsidRDefault="00562548" w:rsidP="00EF3DD9">
            <w:pPr>
              <w:pStyle w:val="Tableheadings"/>
            </w:pPr>
            <w:r w:rsidRPr="00EF3DD9">
              <w:t>Document Filename:</w:t>
            </w:r>
          </w:p>
        </w:tc>
        <w:tc>
          <w:tcPr>
            <w:tcW w:w="6724" w:type="dxa"/>
            <w:vAlign w:val="center"/>
          </w:tcPr>
          <w:p w14:paraId="2C93C122" w14:textId="32E299F3" w:rsidR="00562548" w:rsidRPr="00562548" w:rsidRDefault="001E7159" w:rsidP="00EF3DD9">
            <w:r>
              <w:t>Finance 003 Intercompany Invoicing Policy</w:t>
            </w:r>
          </w:p>
        </w:tc>
      </w:tr>
      <w:tr w:rsidR="00562548" w:rsidRPr="00562548" w14:paraId="6D927321" w14:textId="77777777" w:rsidTr="00EF3DD9">
        <w:tc>
          <w:tcPr>
            <w:tcW w:w="2518" w:type="dxa"/>
            <w:vAlign w:val="center"/>
          </w:tcPr>
          <w:p w14:paraId="2BAC0303" w14:textId="77777777" w:rsidR="00562548" w:rsidRPr="00EF3DD9" w:rsidRDefault="00562548" w:rsidP="00EF3DD9">
            <w:pPr>
              <w:pStyle w:val="Tableheadings"/>
            </w:pPr>
            <w:r w:rsidRPr="00EF3DD9">
              <w:t>Document number:</w:t>
            </w:r>
          </w:p>
        </w:tc>
        <w:tc>
          <w:tcPr>
            <w:tcW w:w="6724" w:type="dxa"/>
            <w:vAlign w:val="center"/>
          </w:tcPr>
          <w:p w14:paraId="00FC63EF" w14:textId="77777777" w:rsidR="00562548" w:rsidRPr="00562548" w:rsidRDefault="00562548" w:rsidP="00EF3DD9">
            <w:r w:rsidRPr="00562548">
              <w:t>Area_SequenceNo</w:t>
            </w:r>
          </w:p>
        </w:tc>
      </w:tr>
      <w:tr w:rsidR="00562548" w:rsidRPr="00562548" w14:paraId="410E7237" w14:textId="77777777" w:rsidTr="00EF3DD9">
        <w:tc>
          <w:tcPr>
            <w:tcW w:w="2518" w:type="dxa"/>
            <w:vAlign w:val="center"/>
          </w:tcPr>
          <w:p w14:paraId="2657B8BE" w14:textId="77777777" w:rsidR="00562548" w:rsidRPr="00EF3DD9" w:rsidRDefault="00562548" w:rsidP="00EF3DD9">
            <w:pPr>
              <w:pStyle w:val="Tableheadings"/>
            </w:pPr>
            <w:r w:rsidRPr="00EF3DD9">
              <w:t>Author:</w:t>
            </w:r>
          </w:p>
        </w:tc>
        <w:tc>
          <w:tcPr>
            <w:tcW w:w="6724" w:type="dxa"/>
            <w:vAlign w:val="center"/>
          </w:tcPr>
          <w:p w14:paraId="0E572AB7" w14:textId="77777777" w:rsidR="00562548" w:rsidRPr="00562548" w:rsidRDefault="00562548" w:rsidP="00EF3DD9">
            <w:r w:rsidRPr="00562548">
              <w:t>Name of Author</w:t>
            </w:r>
          </w:p>
        </w:tc>
      </w:tr>
      <w:tr w:rsidR="00562548" w:rsidRPr="00562548" w14:paraId="5C9B8962" w14:textId="77777777" w:rsidTr="00EF3DD9">
        <w:tc>
          <w:tcPr>
            <w:tcW w:w="2518" w:type="dxa"/>
            <w:vAlign w:val="center"/>
          </w:tcPr>
          <w:p w14:paraId="6240899C" w14:textId="77777777" w:rsidR="00562548" w:rsidRPr="00EF3DD9" w:rsidRDefault="00562548" w:rsidP="00EF3DD9">
            <w:pPr>
              <w:pStyle w:val="Tableheadings"/>
            </w:pPr>
            <w:r w:rsidRPr="00EF3DD9">
              <w:t>Version:</w:t>
            </w:r>
          </w:p>
        </w:tc>
        <w:tc>
          <w:tcPr>
            <w:tcW w:w="6724" w:type="dxa"/>
            <w:vAlign w:val="center"/>
          </w:tcPr>
          <w:p w14:paraId="60EC1982" w14:textId="77777777" w:rsidR="00562548" w:rsidRPr="00562548" w:rsidRDefault="00562548" w:rsidP="00EF3DD9">
            <w:r w:rsidRPr="00562548">
              <w:t>1.0</w:t>
            </w:r>
            <w:bookmarkStart w:id="0" w:name="_GoBack"/>
            <w:bookmarkEnd w:id="0"/>
          </w:p>
        </w:tc>
      </w:tr>
      <w:tr w:rsidR="00562548" w:rsidRPr="00562548" w14:paraId="2AB18AB1" w14:textId="77777777" w:rsidTr="00EF3DD9">
        <w:tc>
          <w:tcPr>
            <w:tcW w:w="2518" w:type="dxa"/>
            <w:vAlign w:val="center"/>
          </w:tcPr>
          <w:p w14:paraId="55F269CA" w14:textId="77777777" w:rsidR="00562548" w:rsidRPr="00EF3DD9" w:rsidRDefault="00562548" w:rsidP="00EF3DD9">
            <w:pPr>
              <w:pStyle w:val="Tableheadings"/>
            </w:pPr>
            <w:r w:rsidRPr="00EF3DD9">
              <w:t>Saved:</w:t>
            </w:r>
          </w:p>
        </w:tc>
        <w:tc>
          <w:tcPr>
            <w:tcW w:w="6724" w:type="dxa"/>
            <w:vAlign w:val="center"/>
          </w:tcPr>
          <w:p w14:paraId="4FD14785" w14:textId="77777777" w:rsidR="00562548" w:rsidRPr="00562548" w:rsidRDefault="0062729E" w:rsidP="0062729E">
            <w:r>
              <w:t>Thursday, 07 November 2013</w:t>
            </w:r>
          </w:p>
        </w:tc>
      </w:tr>
    </w:tbl>
    <w:p w14:paraId="782265D0" w14:textId="77777777" w:rsidR="00562548" w:rsidRDefault="00562548" w:rsidP="00EF3DD9"/>
    <w:p w14:paraId="5AA8E1A2" w14:textId="77777777" w:rsidR="00EF3DD9" w:rsidRPr="00562548" w:rsidRDefault="00EF3DD9"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5"/>
        <w:gridCol w:w="7007"/>
      </w:tblGrid>
      <w:tr w:rsidR="00562548" w:rsidRPr="00562548" w14:paraId="398379A9" w14:textId="77777777" w:rsidTr="00EF3DD9">
        <w:tc>
          <w:tcPr>
            <w:tcW w:w="9242" w:type="dxa"/>
            <w:gridSpan w:val="2"/>
          </w:tcPr>
          <w:p w14:paraId="1BE4F479" w14:textId="77777777" w:rsidR="00562548" w:rsidRPr="00562548" w:rsidRDefault="00562548" w:rsidP="00EF3DD9">
            <w:pPr>
              <w:pStyle w:val="Tableheadings"/>
            </w:pPr>
            <w:r w:rsidRPr="00562548">
              <w:t xml:space="preserve">Distribution </w:t>
            </w:r>
            <w:r>
              <w:t>L</w:t>
            </w:r>
            <w:r w:rsidRPr="00562548">
              <w:t>ist</w:t>
            </w:r>
            <w:r>
              <w:t>:</w:t>
            </w:r>
          </w:p>
        </w:tc>
      </w:tr>
      <w:tr w:rsidR="00562548" w:rsidRPr="00562548" w14:paraId="00FF4361" w14:textId="77777777" w:rsidTr="00EF3DD9">
        <w:tc>
          <w:tcPr>
            <w:tcW w:w="2235" w:type="dxa"/>
          </w:tcPr>
          <w:p w14:paraId="03DF089D" w14:textId="77777777" w:rsidR="00562548" w:rsidRPr="00562548" w:rsidRDefault="00562548" w:rsidP="00EF3DD9">
            <w:pPr>
              <w:pStyle w:val="Tableheadings"/>
            </w:pPr>
            <w:r w:rsidRPr="00562548">
              <w:t>Area</w:t>
            </w:r>
          </w:p>
        </w:tc>
        <w:tc>
          <w:tcPr>
            <w:tcW w:w="7007" w:type="dxa"/>
          </w:tcPr>
          <w:p w14:paraId="1E5A15B3" w14:textId="77777777" w:rsidR="00562548" w:rsidRPr="00562548" w:rsidRDefault="00562548" w:rsidP="00EF3DD9">
            <w:pPr>
              <w:pStyle w:val="Tableheadings"/>
            </w:pPr>
            <w:r w:rsidRPr="00562548">
              <w:t>Full Name</w:t>
            </w:r>
          </w:p>
        </w:tc>
      </w:tr>
      <w:tr w:rsidR="00562548" w14:paraId="183D6004" w14:textId="77777777" w:rsidTr="00EF3DD9">
        <w:tc>
          <w:tcPr>
            <w:tcW w:w="2235" w:type="dxa"/>
          </w:tcPr>
          <w:p w14:paraId="5BC8A16D" w14:textId="77777777" w:rsidR="00562548" w:rsidRDefault="006B793B" w:rsidP="00EF3DD9">
            <w:r>
              <w:t>Finance</w:t>
            </w:r>
          </w:p>
        </w:tc>
        <w:tc>
          <w:tcPr>
            <w:tcW w:w="7007" w:type="dxa"/>
          </w:tcPr>
          <w:p w14:paraId="3AE5AD7D" w14:textId="77777777" w:rsidR="00562548" w:rsidRDefault="00562548" w:rsidP="00EF3DD9"/>
        </w:tc>
      </w:tr>
      <w:tr w:rsidR="00562548" w14:paraId="399EDC53" w14:textId="77777777" w:rsidTr="00EF3DD9">
        <w:tc>
          <w:tcPr>
            <w:tcW w:w="2235" w:type="dxa"/>
          </w:tcPr>
          <w:p w14:paraId="0599377F" w14:textId="77777777" w:rsidR="00562548" w:rsidRDefault="00562548" w:rsidP="00EF3DD9"/>
        </w:tc>
        <w:tc>
          <w:tcPr>
            <w:tcW w:w="7007" w:type="dxa"/>
          </w:tcPr>
          <w:p w14:paraId="61F2C5E5" w14:textId="77777777" w:rsidR="00562548" w:rsidRDefault="00562548" w:rsidP="00EF3DD9"/>
        </w:tc>
      </w:tr>
      <w:tr w:rsidR="00562548" w14:paraId="61402F26" w14:textId="77777777" w:rsidTr="00EF3DD9">
        <w:tc>
          <w:tcPr>
            <w:tcW w:w="2235" w:type="dxa"/>
          </w:tcPr>
          <w:p w14:paraId="1E7738D7" w14:textId="77777777" w:rsidR="00562548" w:rsidRDefault="00562548" w:rsidP="00EF3DD9"/>
        </w:tc>
        <w:tc>
          <w:tcPr>
            <w:tcW w:w="7007" w:type="dxa"/>
          </w:tcPr>
          <w:p w14:paraId="5ECC5E08" w14:textId="77777777" w:rsidR="00562548" w:rsidRDefault="00562548" w:rsidP="00EF3DD9"/>
        </w:tc>
      </w:tr>
    </w:tbl>
    <w:p w14:paraId="765DA143" w14:textId="77777777" w:rsidR="00EF3DD9" w:rsidRDefault="00EF3DD9" w:rsidP="00EF3DD9">
      <w:pPr>
        <w:rPr>
          <w:rFonts w:cs="Arial"/>
          <w:bCs/>
        </w:rPr>
      </w:pPr>
    </w:p>
    <w:p w14:paraId="01008D17" w14:textId="77777777" w:rsidR="00EF3DD9" w:rsidRPr="00E77373" w:rsidRDefault="00EF3DD9" w:rsidP="00EF3DD9">
      <w:pPr>
        <w:rPr>
          <w:rFonts w:cs="Arial"/>
          <w:sz w:val="20"/>
        </w:rPr>
      </w:pPr>
    </w:p>
    <w:tbl>
      <w:tblPr>
        <w:tblW w:w="932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1526"/>
        <w:gridCol w:w="2693"/>
        <w:gridCol w:w="1701"/>
        <w:gridCol w:w="1701"/>
        <w:gridCol w:w="1701"/>
      </w:tblGrid>
      <w:tr w:rsidR="00EF3DD9" w:rsidRPr="00E77373" w14:paraId="3B6313CB" w14:textId="77777777" w:rsidTr="00EF3DD9">
        <w:tc>
          <w:tcPr>
            <w:tcW w:w="9322" w:type="dxa"/>
            <w:gridSpan w:val="5"/>
            <w:shd w:val="clear" w:color="auto" w:fill="auto"/>
          </w:tcPr>
          <w:p w14:paraId="0D3167AD" w14:textId="77777777" w:rsidR="00EF3DD9" w:rsidRPr="00EF3DD9" w:rsidRDefault="00EF3DD9" w:rsidP="00EF3DD9">
            <w:pPr>
              <w:pStyle w:val="Tableheadings"/>
            </w:pPr>
            <w:r w:rsidRPr="00E77373">
              <w:t>Review and Approval Table</w:t>
            </w:r>
          </w:p>
        </w:tc>
      </w:tr>
      <w:tr w:rsidR="00EF3DD9" w:rsidRPr="00EF3DD9" w14:paraId="389BEEA1" w14:textId="77777777" w:rsidTr="00EF3DD9">
        <w:tc>
          <w:tcPr>
            <w:tcW w:w="1526" w:type="dxa"/>
            <w:shd w:val="clear" w:color="auto" w:fill="auto"/>
          </w:tcPr>
          <w:p w14:paraId="62FB1DB6" w14:textId="77777777" w:rsidR="00EF3DD9" w:rsidRPr="00EF3DD9" w:rsidRDefault="00EF3DD9" w:rsidP="00EF3DD9">
            <w:pPr>
              <w:pStyle w:val="Tableheadings"/>
            </w:pPr>
            <w:r w:rsidRPr="00EF3DD9">
              <w:t>Approval Stage</w:t>
            </w:r>
          </w:p>
        </w:tc>
        <w:tc>
          <w:tcPr>
            <w:tcW w:w="2693" w:type="dxa"/>
            <w:shd w:val="clear" w:color="auto" w:fill="auto"/>
          </w:tcPr>
          <w:p w14:paraId="56AFB1DF" w14:textId="77777777" w:rsidR="00EF3DD9" w:rsidRPr="00EF3DD9" w:rsidRDefault="00EF3DD9" w:rsidP="00EF3DD9">
            <w:pPr>
              <w:pStyle w:val="Tableheadings"/>
            </w:pPr>
            <w:r w:rsidRPr="00EF3DD9">
              <w:t>Name</w:t>
            </w:r>
          </w:p>
        </w:tc>
        <w:tc>
          <w:tcPr>
            <w:tcW w:w="1701" w:type="dxa"/>
            <w:shd w:val="clear" w:color="auto" w:fill="auto"/>
          </w:tcPr>
          <w:p w14:paraId="2D47A14A" w14:textId="77777777" w:rsidR="00EF3DD9" w:rsidRPr="00EF3DD9" w:rsidRDefault="00EF3DD9" w:rsidP="00EF3DD9">
            <w:pPr>
              <w:pStyle w:val="Tableheadings"/>
            </w:pPr>
            <w:r w:rsidRPr="00EF3DD9">
              <w:t>Dated</w:t>
            </w:r>
          </w:p>
        </w:tc>
        <w:tc>
          <w:tcPr>
            <w:tcW w:w="1701" w:type="dxa"/>
            <w:shd w:val="clear" w:color="auto" w:fill="auto"/>
          </w:tcPr>
          <w:p w14:paraId="30034F3A" w14:textId="77777777" w:rsidR="00EF3DD9" w:rsidRPr="00EF3DD9" w:rsidRDefault="00EF3DD9" w:rsidP="00EF3DD9">
            <w:pPr>
              <w:pStyle w:val="Tableheadings"/>
            </w:pPr>
            <w:r w:rsidRPr="00EF3DD9">
              <w:t>Approval</w:t>
            </w:r>
          </w:p>
        </w:tc>
        <w:tc>
          <w:tcPr>
            <w:tcW w:w="1701" w:type="dxa"/>
            <w:shd w:val="clear" w:color="auto" w:fill="auto"/>
          </w:tcPr>
          <w:p w14:paraId="0A033885" w14:textId="77777777" w:rsidR="00EF3DD9" w:rsidRPr="00EF3DD9" w:rsidRDefault="00EF3DD9" w:rsidP="00EF3DD9">
            <w:pPr>
              <w:pStyle w:val="Tableheadings"/>
            </w:pPr>
            <w:r>
              <w:t xml:space="preserve">Need by </w:t>
            </w:r>
            <w:r w:rsidRPr="00EF3DD9">
              <w:t>Date</w:t>
            </w:r>
          </w:p>
        </w:tc>
      </w:tr>
      <w:tr w:rsidR="00EF3DD9" w:rsidRPr="00EF3DD9" w14:paraId="5566860E" w14:textId="77777777" w:rsidTr="00EF3DD9">
        <w:tc>
          <w:tcPr>
            <w:tcW w:w="1526" w:type="dxa"/>
            <w:shd w:val="clear" w:color="auto" w:fill="auto"/>
          </w:tcPr>
          <w:p w14:paraId="511E65B0" w14:textId="77777777" w:rsidR="00EF3DD9" w:rsidRPr="00EF3DD9" w:rsidRDefault="00EF3DD9" w:rsidP="00EF3DD9"/>
        </w:tc>
        <w:tc>
          <w:tcPr>
            <w:tcW w:w="2693" w:type="dxa"/>
            <w:shd w:val="clear" w:color="auto" w:fill="auto"/>
          </w:tcPr>
          <w:p w14:paraId="162FEA8E" w14:textId="77777777" w:rsidR="00EF3DD9" w:rsidRPr="00EF3DD9" w:rsidRDefault="00EF3DD9" w:rsidP="00EF3DD9"/>
        </w:tc>
        <w:tc>
          <w:tcPr>
            <w:tcW w:w="1701" w:type="dxa"/>
            <w:shd w:val="clear" w:color="auto" w:fill="auto"/>
          </w:tcPr>
          <w:p w14:paraId="4746065A" w14:textId="77777777" w:rsidR="00EF3DD9" w:rsidRPr="00EF3DD9" w:rsidRDefault="00EF3DD9" w:rsidP="00EF3DD9"/>
        </w:tc>
        <w:tc>
          <w:tcPr>
            <w:tcW w:w="1701" w:type="dxa"/>
            <w:shd w:val="clear" w:color="auto" w:fill="auto"/>
          </w:tcPr>
          <w:p w14:paraId="646E9072" w14:textId="77777777" w:rsidR="00EF3DD9" w:rsidRPr="00EF3DD9" w:rsidRDefault="00EF3DD9" w:rsidP="00EF3DD9"/>
        </w:tc>
        <w:tc>
          <w:tcPr>
            <w:tcW w:w="1701" w:type="dxa"/>
            <w:shd w:val="clear" w:color="auto" w:fill="auto"/>
          </w:tcPr>
          <w:p w14:paraId="00A858E2" w14:textId="77777777" w:rsidR="00EF3DD9" w:rsidRPr="00EF3DD9" w:rsidRDefault="00EF3DD9" w:rsidP="00EF3DD9"/>
        </w:tc>
      </w:tr>
      <w:tr w:rsidR="00EF3DD9" w:rsidRPr="00EF3DD9" w14:paraId="19D427E6" w14:textId="77777777" w:rsidTr="00EF3DD9">
        <w:tc>
          <w:tcPr>
            <w:tcW w:w="1526" w:type="dxa"/>
            <w:shd w:val="clear" w:color="auto" w:fill="auto"/>
          </w:tcPr>
          <w:p w14:paraId="5931AA84" w14:textId="77777777" w:rsidR="00EF3DD9" w:rsidRPr="00EF3DD9" w:rsidRDefault="00EF3DD9" w:rsidP="00EF3DD9"/>
        </w:tc>
        <w:tc>
          <w:tcPr>
            <w:tcW w:w="2693" w:type="dxa"/>
            <w:shd w:val="clear" w:color="auto" w:fill="auto"/>
          </w:tcPr>
          <w:p w14:paraId="616770AE" w14:textId="77777777" w:rsidR="00EF3DD9" w:rsidRPr="00EF3DD9" w:rsidRDefault="00EF3DD9" w:rsidP="00EF3DD9"/>
        </w:tc>
        <w:tc>
          <w:tcPr>
            <w:tcW w:w="1701" w:type="dxa"/>
            <w:shd w:val="clear" w:color="auto" w:fill="auto"/>
          </w:tcPr>
          <w:p w14:paraId="585A9E2C" w14:textId="77777777" w:rsidR="00EF3DD9" w:rsidRPr="00EF3DD9" w:rsidRDefault="00EF3DD9" w:rsidP="00EF3DD9"/>
        </w:tc>
        <w:tc>
          <w:tcPr>
            <w:tcW w:w="1701" w:type="dxa"/>
            <w:shd w:val="clear" w:color="auto" w:fill="auto"/>
          </w:tcPr>
          <w:p w14:paraId="2772EB75" w14:textId="77777777" w:rsidR="00EF3DD9" w:rsidRPr="00EF3DD9" w:rsidRDefault="00EF3DD9" w:rsidP="00EF3DD9"/>
        </w:tc>
        <w:tc>
          <w:tcPr>
            <w:tcW w:w="1701" w:type="dxa"/>
            <w:shd w:val="clear" w:color="auto" w:fill="auto"/>
          </w:tcPr>
          <w:p w14:paraId="7EBFA970" w14:textId="77777777" w:rsidR="00EF3DD9" w:rsidRPr="00EF3DD9" w:rsidRDefault="00EF3DD9" w:rsidP="00EF3DD9"/>
        </w:tc>
      </w:tr>
    </w:tbl>
    <w:p w14:paraId="7B0B5FEB" w14:textId="77777777" w:rsidR="00EF3DD9" w:rsidRPr="00EF3DD9" w:rsidRDefault="00EF3DD9" w:rsidP="00EF3DD9">
      <w:pPr>
        <w:pStyle w:val="InstructionNote"/>
      </w:pPr>
      <w:r w:rsidRPr="00EF3DD9">
        <w:t xml:space="preserve">Note:  </w:t>
      </w:r>
      <w:r w:rsidRPr="00EF3DD9">
        <w:tab/>
        <w:t xml:space="preserve">The attached document has been provided to you for approval.  So that we can stay on schedule, please review the document by the Need By Date, and enter the appropriate approval (listed below):  </w:t>
      </w:r>
    </w:p>
    <w:p w14:paraId="7E6BB181" w14:textId="77777777" w:rsidR="00EF3DD9" w:rsidRPr="00EF3DD9" w:rsidRDefault="00EF3DD9" w:rsidP="00EF3DD9">
      <w:pPr>
        <w:pStyle w:val="InstructionNote"/>
        <w:numPr>
          <w:ilvl w:val="0"/>
          <w:numId w:val="2"/>
        </w:numPr>
        <w:ind w:left="714" w:hanging="357"/>
      </w:pPr>
      <w:r w:rsidRPr="00EF3DD9">
        <w:t xml:space="preserve">Y </w:t>
      </w:r>
      <w:r w:rsidRPr="00EF3DD9">
        <w:tab/>
        <w:t>= Yes, I approve.</w:t>
      </w:r>
    </w:p>
    <w:p w14:paraId="04859ABA" w14:textId="77777777" w:rsidR="00EF3DD9" w:rsidRPr="00EF3DD9" w:rsidRDefault="00EF3DD9" w:rsidP="00EF3DD9">
      <w:pPr>
        <w:pStyle w:val="InstructionNote"/>
        <w:numPr>
          <w:ilvl w:val="0"/>
          <w:numId w:val="2"/>
        </w:numPr>
        <w:ind w:left="714" w:hanging="357"/>
      </w:pPr>
      <w:r w:rsidRPr="00EF3DD9">
        <w:t xml:space="preserve">N </w:t>
      </w:r>
      <w:r w:rsidRPr="00EF3DD9">
        <w:tab/>
        <w:t>= No, I do not approve.</w:t>
      </w:r>
    </w:p>
    <w:p w14:paraId="148D8499" w14:textId="77777777" w:rsidR="00EF3DD9" w:rsidRDefault="00EF3DD9" w:rsidP="00EF3DD9">
      <w:pPr>
        <w:pStyle w:val="InstructionNote"/>
        <w:numPr>
          <w:ilvl w:val="0"/>
          <w:numId w:val="2"/>
        </w:numPr>
        <w:ind w:left="714" w:hanging="357"/>
      </w:pPr>
      <w:r w:rsidRPr="00EF3DD9">
        <w:t xml:space="preserve">WC </w:t>
      </w:r>
      <w:r w:rsidRPr="00EF3DD9">
        <w:tab/>
        <w:t>= I approve with the conditions shown in my Comments.</w:t>
      </w:r>
    </w:p>
    <w:p w14:paraId="1424AFCF" w14:textId="77777777" w:rsidR="00EF3DD9" w:rsidRPr="00EF3DD9" w:rsidRDefault="00EF3DD9" w:rsidP="00EF3DD9">
      <w:pPr>
        <w:pStyle w:val="InstructionNote"/>
      </w:pPr>
    </w:p>
    <w:p w14:paraId="5E7963F3" w14:textId="77777777" w:rsidR="00EF3DD9" w:rsidRDefault="00EF3DD9" w:rsidP="00EF3DD9">
      <w:pPr>
        <w:pStyle w:val="InstructionNote"/>
      </w:pPr>
      <w:r w:rsidRPr="00EF3DD9">
        <w:t>Please attach your comments to this document.  You may also annotate the document.  After you have reviewed and approved/rejected the document, return it to the person who requested the approval.</w:t>
      </w:r>
    </w:p>
    <w:p w14:paraId="71FC539D" w14:textId="77777777" w:rsidR="00EF3DD9" w:rsidRDefault="00EF3DD9" w:rsidP="00EF3DD9">
      <w:pPr>
        <w:pStyle w:val="InstructionNote"/>
      </w:pPr>
    </w:p>
    <w:p w14:paraId="7820B547" w14:textId="77777777" w:rsidR="00EF3DD9" w:rsidRPr="00EF3DD9" w:rsidRDefault="00EF3DD9" w:rsidP="00EF3DD9">
      <w:pPr>
        <w:pStyle w:val="InstructionNote"/>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1242"/>
        <w:gridCol w:w="2410"/>
        <w:gridCol w:w="1559"/>
        <w:gridCol w:w="3969"/>
      </w:tblGrid>
      <w:tr w:rsidR="00EF3DD9" w:rsidRPr="00E77373" w14:paraId="7681256F" w14:textId="77777777" w:rsidTr="00EF3DD9">
        <w:trPr>
          <w:cantSplit/>
          <w:tblHeader/>
        </w:trPr>
        <w:tc>
          <w:tcPr>
            <w:tcW w:w="9180" w:type="dxa"/>
            <w:gridSpan w:val="4"/>
            <w:shd w:val="clear" w:color="auto" w:fill="auto"/>
            <w:vAlign w:val="center"/>
          </w:tcPr>
          <w:p w14:paraId="19D75FC1" w14:textId="77777777" w:rsidR="00EF3DD9" w:rsidRPr="00EF3DD9" w:rsidRDefault="00EF3DD9" w:rsidP="00EF3DD9">
            <w:pPr>
              <w:pStyle w:val="Tableheadings"/>
            </w:pPr>
            <w:r>
              <w:t>Change History</w:t>
            </w:r>
          </w:p>
        </w:tc>
      </w:tr>
      <w:tr w:rsidR="00EF3DD9" w:rsidRPr="00E77373" w14:paraId="011FCD3F" w14:textId="77777777" w:rsidTr="00EF3DD9">
        <w:trPr>
          <w:cantSplit/>
          <w:tblHeader/>
        </w:trPr>
        <w:tc>
          <w:tcPr>
            <w:tcW w:w="1242" w:type="dxa"/>
            <w:shd w:val="clear" w:color="auto" w:fill="auto"/>
            <w:vAlign w:val="center"/>
          </w:tcPr>
          <w:p w14:paraId="5386079D" w14:textId="77777777" w:rsidR="00EF3DD9" w:rsidRPr="00E77373" w:rsidRDefault="00EF3DD9" w:rsidP="00EF3DD9">
            <w:pPr>
              <w:pStyle w:val="Tableheadings"/>
            </w:pPr>
            <w:r w:rsidRPr="00E77373">
              <w:t>Version number</w:t>
            </w:r>
          </w:p>
        </w:tc>
        <w:tc>
          <w:tcPr>
            <w:tcW w:w="2410" w:type="dxa"/>
            <w:shd w:val="clear" w:color="auto" w:fill="auto"/>
            <w:vAlign w:val="center"/>
          </w:tcPr>
          <w:p w14:paraId="57DEE847" w14:textId="77777777" w:rsidR="00EF3DD9" w:rsidRPr="00E77373" w:rsidRDefault="00EF3DD9" w:rsidP="00EF3DD9">
            <w:pPr>
              <w:pStyle w:val="Tableheadings"/>
            </w:pPr>
            <w:r w:rsidRPr="00E77373">
              <w:t>Author</w:t>
            </w:r>
          </w:p>
        </w:tc>
        <w:tc>
          <w:tcPr>
            <w:tcW w:w="1559" w:type="dxa"/>
            <w:shd w:val="clear" w:color="auto" w:fill="auto"/>
            <w:vAlign w:val="center"/>
          </w:tcPr>
          <w:p w14:paraId="1D81C842" w14:textId="77777777" w:rsidR="00EF3DD9" w:rsidRPr="00E77373" w:rsidRDefault="00EF3DD9" w:rsidP="00EF3DD9">
            <w:pPr>
              <w:pStyle w:val="Tableheadings"/>
            </w:pPr>
            <w:r w:rsidRPr="00E77373">
              <w:t>Date</w:t>
            </w:r>
          </w:p>
        </w:tc>
        <w:tc>
          <w:tcPr>
            <w:tcW w:w="3969" w:type="dxa"/>
            <w:shd w:val="clear" w:color="auto" w:fill="auto"/>
            <w:vAlign w:val="center"/>
          </w:tcPr>
          <w:p w14:paraId="16EC4500" w14:textId="77777777" w:rsidR="00EF3DD9" w:rsidRPr="00E77373" w:rsidRDefault="00EF3DD9" w:rsidP="00EF3DD9">
            <w:pPr>
              <w:pStyle w:val="Tableheadings"/>
            </w:pPr>
            <w:r w:rsidRPr="00E77373">
              <w:t>Summary of changes</w:t>
            </w:r>
          </w:p>
        </w:tc>
      </w:tr>
      <w:tr w:rsidR="00EF3DD9" w:rsidRPr="00E77373" w14:paraId="3FCC4F46" w14:textId="77777777" w:rsidTr="00EF3DD9">
        <w:tc>
          <w:tcPr>
            <w:tcW w:w="1242" w:type="dxa"/>
            <w:shd w:val="clear" w:color="auto" w:fill="auto"/>
            <w:vAlign w:val="center"/>
          </w:tcPr>
          <w:p w14:paraId="3C119EDD" w14:textId="77777777" w:rsidR="00EF3DD9" w:rsidRPr="00E77373" w:rsidRDefault="00EF3DD9" w:rsidP="00BB5DB7">
            <w:bookmarkStart w:id="1" w:name="VersionNumber" w:colFirst="0" w:colLast="0"/>
            <w:bookmarkStart w:id="2" w:name="Author" w:colFirst="1" w:colLast="1"/>
            <w:bookmarkStart w:id="3" w:name="Date" w:colFirst="2" w:colLast="2"/>
            <w:r w:rsidRPr="00E77373">
              <w:t>1.0</w:t>
            </w:r>
          </w:p>
        </w:tc>
        <w:tc>
          <w:tcPr>
            <w:tcW w:w="2410" w:type="dxa"/>
            <w:shd w:val="clear" w:color="auto" w:fill="auto"/>
            <w:vAlign w:val="center"/>
          </w:tcPr>
          <w:p w14:paraId="0B0847E0" w14:textId="77777777" w:rsidR="00EF3DD9" w:rsidRPr="00E77373" w:rsidRDefault="00EF3DD9" w:rsidP="00BB5DB7">
            <w:r>
              <w:t>Author Name</w:t>
            </w:r>
          </w:p>
        </w:tc>
        <w:tc>
          <w:tcPr>
            <w:tcW w:w="1559" w:type="dxa"/>
            <w:shd w:val="clear" w:color="auto" w:fill="auto"/>
            <w:vAlign w:val="center"/>
          </w:tcPr>
          <w:p w14:paraId="57BA152B" w14:textId="77777777" w:rsidR="00EF3DD9" w:rsidRPr="00E77373" w:rsidRDefault="00EF3DD9" w:rsidP="00BB5DB7">
            <w:r>
              <w:t>Date</w:t>
            </w:r>
          </w:p>
        </w:tc>
        <w:tc>
          <w:tcPr>
            <w:tcW w:w="3969" w:type="dxa"/>
            <w:shd w:val="clear" w:color="auto" w:fill="auto"/>
            <w:vAlign w:val="center"/>
          </w:tcPr>
          <w:p w14:paraId="18CB06B0" w14:textId="77777777" w:rsidR="00EF3DD9" w:rsidRPr="00E77373" w:rsidRDefault="00EF3DD9" w:rsidP="00BB5DB7">
            <w:r>
              <w:t>First version</w:t>
            </w:r>
          </w:p>
        </w:tc>
      </w:tr>
      <w:bookmarkEnd w:id="1"/>
      <w:bookmarkEnd w:id="2"/>
      <w:bookmarkEnd w:id="3"/>
      <w:tr w:rsidR="00EF3DD9" w:rsidRPr="00E77373" w14:paraId="1F70B5D5" w14:textId="77777777" w:rsidTr="00EF3DD9">
        <w:tc>
          <w:tcPr>
            <w:tcW w:w="1242" w:type="dxa"/>
            <w:shd w:val="clear" w:color="auto" w:fill="auto"/>
            <w:vAlign w:val="center"/>
          </w:tcPr>
          <w:p w14:paraId="1C0A1942" w14:textId="77777777" w:rsidR="00EF3DD9" w:rsidRPr="00E77373" w:rsidRDefault="00EF3DD9" w:rsidP="00BB5DB7">
            <w:r>
              <w:t>1.1</w:t>
            </w:r>
          </w:p>
        </w:tc>
        <w:tc>
          <w:tcPr>
            <w:tcW w:w="2410" w:type="dxa"/>
            <w:shd w:val="clear" w:color="auto" w:fill="auto"/>
            <w:vAlign w:val="center"/>
          </w:tcPr>
          <w:p w14:paraId="4A77B0DF" w14:textId="77777777" w:rsidR="00EF3DD9" w:rsidRPr="00E77373" w:rsidRDefault="00EF3DD9" w:rsidP="00BB5DB7">
            <w:r>
              <w:t>Author Name</w:t>
            </w:r>
          </w:p>
        </w:tc>
        <w:tc>
          <w:tcPr>
            <w:tcW w:w="1559" w:type="dxa"/>
            <w:shd w:val="clear" w:color="auto" w:fill="auto"/>
            <w:vAlign w:val="center"/>
          </w:tcPr>
          <w:p w14:paraId="6CC9482E" w14:textId="77777777" w:rsidR="00EF3DD9" w:rsidRPr="00E77373" w:rsidRDefault="00EF3DD9" w:rsidP="00BB5DB7">
            <w:r>
              <w:t>Date</w:t>
            </w:r>
          </w:p>
        </w:tc>
        <w:tc>
          <w:tcPr>
            <w:tcW w:w="3969" w:type="dxa"/>
            <w:shd w:val="clear" w:color="auto" w:fill="auto"/>
            <w:vAlign w:val="center"/>
          </w:tcPr>
          <w:p w14:paraId="00E2FF81" w14:textId="77777777" w:rsidR="00EF3DD9" w:rsidRPr="00E77373" w:rsidRDefault="00EF3DD9" w:rsidP="00BB5DB7">
            <w:r>
              <w:t>Minor revision</w:t>
            </w:r>
          </w:p>
        </w:tc>
      </w:tr>
      <w:tr w:rsidR="00EF3DD9" w:rsidRPr="00E77373" w14:paraId="4BF25B85" w14:textId="77777777" w:rsidTr="00EF3DD9">
        <w:tc>
          <w:tcPr>
            <w:tcW w:w="1242" w:type="dxa"/>
            <w:shd w:val="clear" w:color="auto" w:fill="auto"/>
            <w:vAlign w:val="center"/>
          </w:tcPr>
          <w:p w14:paraId="41FC682C" w14:textId="77777777" w:rsidR="00EF3DD9" w:rsidRPr="0043395D" w:rsidRDefault="00EF3DD9" w:rsidP="00BB5DB7">
            <w:r>
              <w:t>2.0</w:t>
            </w:r>
          </w:p>
        </w:tc>
        <w:tc>
          <w:tcPr>
            <w:tcW w:w="2410" w:type="dxa"/>
            <w:shd w:val="clear" w:color="auto" w:fill="auto"/>
            <w:vAlign w:val="center"/>
          </w:tcPr>
          <w:p w14:paraId="0B354361" w14:textId="77777777" w:rsidR="00EF3DD9" w:rsidRPr="0043395D" w:rsidRDefault="00EF3DD9" w:rsidP="00BB5DB7">
            <w:r>
              <w:t>Author Name</w:t>
            </w:r>
          </w:p>
        </w:tc>
        <w:tc>
          <w:tcPr>
            <w:tcW w:w="1559" w:type="dxa"/>
            <w:shd w:val="clear" w:color="auto" w:fill="auto"/>
            <w:vAlign w:val="center"/>
          </w:tcPr>
          <w:p w14:paraId="1566A4E0" w14:textId="77777777" w:rsidR="00EF3DD9" w:rsidRPr="0043395D" w:rsidRDefault="00EF3DD9" w:rsidP="00BB5DB7">
            <w:r>
              <w:t xml:space="preserve">Date </w:t>
            </w:r>
          </w:p>
        </w:tc>
        <w:tc>
          <w:tcPr>
            <w:tcW w:w="3969" w:type="dxa"/>
            <w:shd w:val="clear" w:color="auto" w:fill="auto"/>
            <w:vAlign w:val="center"/>
          </w:tcPr>
          <w:p w14:paraId="1DCFE78A" w14:textId="77777777" w:rsidR="00EF3DD9" w:rsidRPr="0043395D" w:rsidRDefault="00EF3DD9" w:rsidP="00BB5DB7">
            <w:r>
              <w:t>Major revision</w:t>
            </w:r>
          </w:p>
        </w:tc>
      </w:tr>
      <w:tr w:rsidR="00EF3DD9" w:rsidRPr="00E77373" w14:paraId="127573D0" w14:textId="77777777" w:rsidTr="00EF3DD9">
        <w:tc>
          <w:tcPr>
            <w:tcW w:w="1242" w:type="dxa"/>
            <w:shd w:val="clear" w:color="auto" w:fill="auto"/>
            <w:vAlign w:val="center"/>
          </w:tcPr>
          <w:p w14:paraId="2BADD49C" w14:textId="77777777" w:rsidR="00EF3DD9" w:rsidRPr="0043395D" w:rsidRDefault="00EF3DD9" w:rsidP="00BB5DB7"/>
        </w:tc>
        <w:tc>
          <w:tcPr>
            <w:tcW w:w="2410" w:type="dxa"/>
            <w:shd w:val="clear" w:color="auto" w:fill="auto"/>
            <w:vAlign w:val="center"/>
          </w:tcPr>
          <w:p w14:paraId="46C22F9A" w14:textId="77777777" w:rsidR="00EF3DD9" w:rsidRPr="0043395D" w:rsidRDefault="00EF3DD9" w:rsidP="00BB5DB7"/>
        </w:tc>
        <w:tc>
          <w:tcPr>
            <w:tcW w:w="1559" w:type="dxa"/>
            <w:shd w:val="clear" w:color="auto" w:fill="auto"/>
            <w:vAlign w:val="center"/>
          </w:tcPr>
          <w:p w14:paraId="22A8F300" w14:textId="77777777" w:rsidR="00EF3DD9" w:rsidRDefault="00EF3DD9" w:rsidP="00BB5DB7"/>
        </w:tc>
        <w:tc>
          <w:tcPr>
            <w:tcW w:w="3969" w:type="dxa"/>
            <w:shd w:val="clear" w:color="auto" w:fill="auto"/>
            <w:vAlign w:val="center"/>
          </w:tcPr>
          <w:p w14:paraId="467F087D" w14:textId="77777777" w:rsidR="00EF3DD9" w:rsidRDefault="00EF3DD9" w:rsidP="00BB5DB7"/>
        </w:tc>
      </w:tr>
    </w:tbl>
    <w:p w14:paraId="3EE8A238" w14:textId="77777777" w:rsidR="00EF3DD9" w:rsidRDefault="00EF3DD9" w:rsidP="00EF3DD9">
      <w:pPr>
        <w:rPr>
          <w:rFonts w:cs="Arial"/>
          <w:bCs/>
        </w:rPr>
      </w:pPr>
    </w:p>
    <w:sdt>
      <w:sdtPr>
        <w:rPr>
          <w:rFonts w:ascii="Arial" w:eastAsiaTheme="minorHAnsi" w:hAnsi="Arial" w:cstheme="minorBidi"/>
          <w:b w:val="0"/>
          <w:bCs w:val="0"/>
          <w:color w:val="auto"/>
          <w:sz w:val="22"/>
          <w:szCs w:val="22"/>
          <w:lang w:val="en-GB" w:eastAsia="en-US"/>
        </w:rPr>
        <w:id w:val="-1192604056"/>
        <w:docPartObj>
          <w:docPartGallery w:val="Table of Contents"/>
          <w:docPartUnique/>
        </w:docPartObj>
      </w:sdtPr>
      <w:sdtEndPr>
        <w:rPr>
          <w:noProof/>
        </w:rPr>
      </w:sdtEndPr>
      <w:sdtContent>
        <w:p w14:paraId="7DA405E6" w14:textId="77777777" w:rsidR="00EF3DD9" w:rsidRPr="00EF3DD9" w:rsidRDefault="00EF3DD9" w:rsidP="00EF3DD9">
          <w:pPr>
            <w:pStyle w:val="TOCHeading"/>
            <w:rPr>
              <w:rStyle w:val="TableheadingsChar"/>
              <w:color w:val="auto"/>
            </w:rPr>
          </w:pPr>
          <w:r w:rsidRPr="00EF3DD9">
            <w:rPr>
              <w:rStyle w:val="TableheadingsChar"/>
              <w:color w:val="auto"/>
            </w:rPr>
            <w:t xml:space="preserve">Table </w:t>
          </w:r>
          <w:r>
            <w:rPr>
              <w:rStyle w:val="TableheadingsChar"/>
              <w:color w:val="auto"/>
            </w:rPr>
            <w:t xml:space="preserve">of </w:t>
          </w:r>
          <w:r w:rsidRPr="00EF3DD9">
            <w:rPr>
              <w:rStyle w:val="TableheadingsChar"/>
              <w:color w:val="auto"/>
            </w:rPr>
            <w:t>Contents</w:t>
          </w:r>
        </w:p>
        <w:p w14:paraId="1883344E" w14:textId="77777777" w:rsidR="00BB5DB7" w:rsidRDefault="00EF3DD9">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345409241" w:history="1">
            <w:r w:rsidR="00BB5DB7" w:rsidRPr="00D20EE3">
              <w:rPr>
                <w:rStyle w:val="Hyperlink"/>
                <w:noProof/>
              </w:rPr>
              <w:t>Functional Area</w:t>
            </w:r>
            <w:r w:rsidR="00BB5DB7">
              <w:rPr>
                <w:noProof/>
                <w:webHidden/>
              </w:rPr>
              <w:tab/>
            </w:r>
            <w:r w:rsidR="00BB5DB7">
              <w:rPr>
                <w:noProof/>
                <w:webHidden/>
              </w:rPr>
              <w:fldChar w:fldCharType="begin"/>
            </w:r>
            <w:r w:rsidR="00BB5DB7">
              <w:rPr>
                <w:noProof/>
                <w:webHidden/>
              </w:rPr>
              <w:instrText xml:space="preserve"> PAGEREF _Toc345409241 \h </w:instrText>
            </w:r>
            <w:r w:rsidR="00BB5DB7">
              <w:rPr>
                <w:noProof/>
                <w:webHidden/>
              </w:rPr>
            </w:r>
            <w:r w:rsidR="00BB5DB7">
              <w:rPr>
                <w:noProof/>
                <w:webHidden/>
              </w:rPr>
              <w:fldChar w:fldCharType="separate"/>
            </w:r>
            <w:r w:rsidR="00BB5DB7">
              <w:rPr>
                <w:noProof/>
                <w:webHidden/>
              </w:rPr>
              <w:t>1</w:t>
            </w:r>
            <w:r w:rsidR="00BB5DB7">
              <w:rPr>
                <w:noProof/>
                <w:webHidden/>
              </w:rPr>
              <w:fldChar w:fldCharType="end"/>
            </w:r>
          </w:hyperlink>
        </w:p>
        <w:p w14:paraId="7C7A4F73" w14:textId="77777777" w:rsidR="00BB5DB7" w:rsidRDefault="001E7159">
          <w:pPr>
            <w:pStyle w:val="TOC1"/>
            <w:tabs>
              <w:tab w:val="right" w:leader="dot" w:pos="9016"/>
            </w:tabs>
            <w:rPr>
              <w:rFonts w:asciiTheme="minorHAnsi" w:eastAsiaTheme="minorEastAsia" w:hAnsiTheme="minorHAnsi"/>
              <w:noProof/>
              <w:lang w:eastAsia="en-GB"/>
            </w:rPr>
          </w:pPr>
          <w:hyperlink w:anchor="_Toc345409242" w:history="1">
            <w:r w:rsidR="00BB5DB7" w:rsidRPr="00D20EE3">
              <w:rPr>
                <w:rStyle w:val="Hyperlink"/>
                <w:noProof/>
              </w:rPr>
              <w:t>Policy: Name of Policy</w:t>
            </w:r>
            <w:r w:rsidR="00BB5DB7">
              <w:rPr>
                <w:noProof/>
                <w:webHidden/>
              </w:rPr>
              <w:tab/>
            </w:r>
            <w:r w:rsidR="00BB5DB7">
              <w:rPr>
                <w:noProof/>
                <w:webHidden/>
              </w:rPr>
              <w:fldChar w:fldCharType="begin"/>
            </w:r>
            <w:r w:rsidR="00BB5DB7">
              <w:rPr>
                <w:noProof/>
                <w:webHidden/>
              </w:rPr>
              <w:instrText xml:space="preserve"> PAGEREF _Toc345409242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7B46FB0A" w14:textId="77777777" w:rsidR="00BB5DB7" w:rsidRDefault="001E7159">
          <w:pPr>
            <w:pStyle w:val="TOC2"/>
            <w:tabs>
              <w:tab w:val="left" w:pos="660"/>
              <w:tab w:val="right" w:leader="dot" w:pos="9016"/>
            </w:tabs>
            <w:rPr>
              <w:noProof/>
            </w:rPr>
          </w:pPr>
          <w:hyperlink w:anchor="_Toc345409243" w:history="1">
            <w:r w:rsidR="00BB5DB7" w:rsidRPr="00D20EE3">
              <w:rPr>
                <w:rStyle w:val="Hyperlink"/>
                <w:noProof/>
              </w:rPr>
              <w:t>1.</w:t>
            </w:r>
            <w:r w:rsidR="00BB5DB7">
              <w:rPr>
                <w:noProof/>
              </w:rPr>
              <w:tab/>
            </w:r>
            <w:r w:rsidR="00BB5DB7" w:rsidRPr="00D20EE3">
              <w:rPr>
                <w:rStyle w:val="Hyperlink"/>
                <w:noProof/>
              </w:rPr>
              <w:t>Purpose</w:t>
            </w:r>
            <w:r w:rsidR="00BB5DB7">
              <w:rPr>
                <w:noProof/>
                <w:webHidden/>
              </w:rPr>
              <w:tab/>
            </w:r>
            <w:r w:rsidR="00BB5DB7">
              <w:rPr>
                <w:noProof/>
                <w:webHidden/>
              </w:rPr>
              <w:fldChar w:fldCharType="begin"/>
            </w:r>
            <w:r w:rsidR="00BB5DB7">
              <w:rPr>
                <w:noProof/>
                <w:webHidden/>
              </w:rPr>
              <w:instrText xml:space="preserve"> PAGEREF _Toc345409243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6D19B008" w14:textId="77777777" w:rsidR="00BB5DB7" w:rsidRDefault="001E7159">
          <w:pPr>
            <w:pStyle w:val="TOC2"/>
            <w:tabs>
              <w:tab w:val="left" w:pos="660"/>
              <w:tab w:val="right" w:leader="dot" w:pos="9016"/>
            </w:tabs>
            <w:rPr>
              <w:noProof/>
            </w:rPr>
          </w:pPr>
          <w:hyperlink w:anchor="_Toc345409244" w:history="1">
            <w:r w:rsidR="00BB5DB7" w:rsidRPr="00D20EE3">
              <w:rPr>
                <w:rStyle w:val="Hyperlink"/>
                <w:noProof/>
              </w:rPr>
              <w:t>2.</w:t>
            </w:r>
            <w:r w:rsidR="00BB5DB7">
              <w:rPr>
                <w:noProof/>
              </w:rPr>
              <w:tab/>
            </w:r>
            <w:r w:rsidR="00BB5DB7" w:rsidRPr="00D20EE3">
              <w:rPr>
                <w:rStyle w:val="Hyperlink"/>
                <w:noProof/>
              </w:rPr>
              <w:t>Definition</w:t>
            </w:r>
            <w:r w:rsidR="00BB5DB7">
              <w:rPr>
                <w:noProof/>
                <w:webHidden/>
              </w:rPr>
              <w:tab/>
            </w:r>
            <w:r w:rsidR="00BB5DB7">
              <w:rPr>
                <w:noProof/>
                <w:webHidden/>
              </w:rPr>
              <w:fldChar w:fldCharType="begin"/>
            </w:r>
            <w:r w:rsidR="00BB5DB7">
              <w:rPr>
                <w:noProof/>
                <w:webHidden/>
              </w:rPr>
              <w:instrText xml:space="preserve"> PAGEREF _Toc345409244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0D83176C" w14:textId="77777777" w:rsidR="00BB5DB7" w:rsidRDefault="001E7159">
          <w:pPr>
            <w:pStyle w:val="TOC2"/>
            <w:tabs>
              <w:tab w:val="left" w:pos="660"/>
              <w:tab w:val="right" w:leader="dot" w:pos="9016"/>
            </w:tabs>
            <w:rPr>
              <w:noProof/>
            </w:rPr>
          </w:pPr>
          <w:hyperlink w:anchor="_Toc345409245" w:history="1">
            <w:r w:rsidR="00BB5DB7" w:rsidRPr="00D20EE3">
              <w:rPr>
                <w:rStyle w:val="Hyperlink"/>
                <w:noProof/>
              </w:rPr>
              <w:t>3.</w:t>
            </w:r>
            <w:r w:rsidR="00BB5DB7">
              <w:rPr>
                <w:noProof/>
              </w:rPr>
              <w:tab/>
            </w:r>
            <w:r w:rsidR="00BB5DB7" w:rsidRPr="00D20EE3">
              <w:rPr>
                <w:rStyle w:val="Hyperlink"/>
                <w:noProof/>
              </w:rPr>
              <w:t>Principles</w:t>
            </w:r>
            <w:r w:rsidR="00BB5DB7">
              <w:rPr>
                <w:noProof/>
                <w:webHidden/>
              </w:rPr>
              <w:tab/>
            </w:r>
            <w:r w:rsidR="00BB5DB7">
              <w:rPr>
                <w:noProof/>
                <w:webHidden/>
              </w:rPr>
              <w:fldChar w:fldCharType="begin"/>
            </w:r>
            <w:r w:rsidR="00BB5DB7">
              <w:rPr>
                <w:noProof/>
                <w:webHidden/>
              </w:rPr>
              <w:instrText xml:space="preserve"> PAGEREF _Toc345409245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79264F17" w14:textId="77777777" w:rsidR="00BB5DB7" w:rsidRDefault="001E7159">
          <w:pPr>
            <w:pStyle w:val="TOC2"/>
            <w:tabs>
              <w:tab w:val="right" w:leader="dot" w:pos="9016"/>
            </w:tabs>
            <w:rPr>
              <w:noProof/>
            </w:rPr>
          </w:pPr>
          <w:hyperlink w:anchor="_Toc345409246" w:history="1">
            <w:r w:rsidR="00BB5DB7" w:rsidRPr="00D20EE3">
              <w:rPr>
                <w:rStyle w:val="Hyperlink"/>
                <w:noProof/>
              </w:rPr>
              <w:t>4. Policy Details</w:t>
            </w:r>
            <w:r w:rsidR="00BB5DB7">
              <w:rPr>
                <w:noProof/>
                <w:webHidden/>
              </w:rPr>
              <w:tab/>
            </w:r>
            <w:r w:rsidR="00BB5DB7">
              <w:rPr>
                <w:noProof/>
                <w:webHidden/>
              </w:rPr>
              <w:fldChar w:fldCharType="begin"/>
            </w:r>
            <w:r w:rsidR="00BB5DB7">
              <w:rPr>
                <w:noProof/>
                <w:webHidden/>
              </w:rPr>
              <w:instrText xml:space="preserve"> PAGEREF _Toc345409246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4DB522C9" w14:textId="77777777" w:rsidR="00BB5DB7" w:rsidRDefault="001E7159">
          <w:pPr>
            <w:pStyle w:val="TOC3"/>
            <w:tabs>
              <w:tab w:val="right" w:leader="dot" w:pos="9016"/>
            </w:tabs>
            <w:rPr>
              <w:noProof/>
            </w:rPr>
          </w:pPr>
          <w:hyperlink w:anchor="_Toc345409247" w:history="1">
            <w:r w:rsidR="00BB5DB7" w:rsidRPr="00D20EE3">
              <w:rPr>
                <w:rStyle w:val="Hyperlink"/>
                <w:noProof/>
              </w:rPr>
              <w:t>4.1 Sub Policy Details</w:t>
            </w:r>
            <w:r w:rsidR="00BB5DB7">
              <w:rPr>
                <w:noProof/>
                <w:webHidden/>
              </w:rPr>
              <w:tab/>
            </w:r>
            <w:r w:rsidR="00BB5DB7">
              <w:rPr>
                <w:noProof/>
                <w:webHidden/>
              </w:rPr>
              <w:fldChar w:fldCharType="begin"/>
            </w:r>
            <w:r w:rsidR="00BB5DB7">
              <w:rPr>
                <w:noProof/>
                <w:webHidden/>
              </w:rPr>
              <w:instrText xml:space="preserve"> PAGEREF _Toc345409247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39045568" w14:textId="77777777" w:rsidR="00BB5DB7" w:rsidRDefault="001E7159">
          <w:pPr>
            <w:pStyle w:val="TOC3"/>
            <w:tabs>
              <w:tab w:val="right" w:leader="dot" w:pos="9016"/>
            </w:tabs>
            <w:rPr>
              <w:noProof/>
            </w:rPr>
          </w:pPr>
          <w:hyperlink w:anchor="_Toc345409248" w:history="1">
            <w:r w:rsidR="00BB5DB7" w:rsidRPr="00D20EE3">
              <w:rPr>
                <w:rStyle w:val="Hyperlink"/>
                <w:noProof/>
              </w:rPr>
              <w:t>4.2 Sub policy details 2</w:t>
            </w:r>
            <w:r w:rsidR="00BB5DB7">
              <w:rPr>
                <w:noProof/>
                <w:webHidden/>
              </w:rPr>
              <w:tab/>
            </w:r>
            <w:r w:rsidR="00BB5DB7">
              <w:rPr>
                <w:noProof/>
                <w:webHidden/>
              </w:rPr>
              <w:fldChar w:fldCharType="begin"/>
            </w:r>
            <w:r w:rsidR="00BB5DB7">
              <w:rPr>
                <w:noProof/>
                <w:webHidden/>
              </w:rPr>
              <w:instrText xml:space="preserve"> PAGEREF _Toc345409248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764D4F32" w14:textId="77777777" w:rsidR="00BB5DB7" w:rsidRDefault="001E7159">
          <w:pPr>
            <w:pStyle w:val="TOC3"/>
            <w:tabs>
              <w:tab w:val="right" w:leader="dot" w:pos="9016"/>
            </w:tabs>
            <w:rPr>
              <w:noProof/>
            </w:rPr>
          </w:pPr>
          <w:hyperlink w:anchor="_Toc345409249" w:history="1">
            <w:r w:rsidR="00BB5DB7" w:rsidRPr="00D20EE3">
              <w:rPr>
                <w:rStyle w:val="Hyperlink"/>
                <w:noProof/>
              </w:rPr>
              <w:t>4.3 Sub Policy details 3</w:t>
            </w:r>
            <w:r w:rsidR="00BB5DB7">
              <w:rPr>
                <w:noProof/>
                <w:webHidden/>
              </w:rPr>
              <w:tab/>
            </w:r>
            <w:r w:rsidR="00BB5DB7">
              <w:rPr>
                <w:noProof/>
                <w:webHidden/>
              </w:rPr>
              <w:fldChar w:fldCharType="begin"/>
            </w:r>
            <w:r w:rsidR="00BB5DB7">
              <w:rPr>
                <w:noProof/>
                <w:webHidden/>
              </w:rPr>
              <w:instrText xml:space="preserve"> PAGEREF _Toc345409249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0EE417E5" w14:textId="77777777" w:rsidR="00BB5DB7" w:rsidRDefault="001E7159">
          <w:pPr>
            <w:pStyle w:val="TOC2"/>
            <w:tabs>
              <w:tab w:val="right" w:leader="dot" w:pos="9016"/>
            </w:tabs>
            <w:rPr>
              <w:noProof/>
            </w:rPr>
          </w:pPr>
          <w:hyperlink w:anchor="_Toc345409250" w:history="1">
            <w:r w:rsidR="00BB5DB7" w:rsidRPr="00D20EE3">
              <w:rPr>
                <w:rStyle w:val="Hyperlink"/>
                <w:noProof/>
              </w:rPr>
              <w:t>5. Related Areas and Processes</w:t>
            </w:r>
            <w:r w:rsidR="00BB5DB7">
              <w:rPr>
                <w:noProof/>
                <w:webHidden/>
              </w:rPr>
              <w:tab/>
            </w:r>
            <w:r w:rsidR="00BB5DB7">
              <w:rPr>
                <w:noProof/>
                <w:webHidden/>
              </w:rPr>
              <w:fldChar w:fldCharType="begin"/>
            </w:r>
            <w:r w:rsidR="00BB5DB7">
              <w:rPr>
                <w:noProof/>
                <w:webHidden/>
              </w:rPr>
              <w:instrText xml:space="preserve"> PAGEREF _Toc345409250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5F7560DD" w14:textId="77777777" w:rsidR="00BB5DB7" w:rsidRDefault="001E7159">
          <w:pPr>
            <w:pStyle w:val="TOC2"/>
            <w:tabs>
              <w:tab w:val="right" w:leader="dot" w:pos="9016"/>
            </w:tabs>
            <w:rPr>
              <w:noProof/>
            </w:rPr>
          </w:pPr>
          <w:hyperlink w:anchor="_Toc345409251" w:history="1">
            <w:r w:rsidR="00BB5DB7" w:rsidRPr="00D20EE3">
              <w:rPr>
                <w:rStyle w:val="Hyperlink"/>
                <w:noProof/>
              </w:rPr>
              <w:t>6. Issue management process</w:t>
            </w:r>
            <w:r w:rsidR="00BB5DB7">
              <w:rPr>
                <w:noProof/>
                <w:webHidden/>
              </w:rPr>
              <w:tab/>
            </w:r>
            <w:r w:rsidR="00BB5DB7">
              <w:rPr>
                <w:noProof/>
                <w:webHidden/>
              </w:rPr>
              <w:fldChar w:fldCharType="begin"/>
            </w:r>
            <w:r w:rsidR="00BB5DB7">
              <w:rPr>
                <w:noProof/>
                <w:webHidden/>
              </w:rPr>
              <w:instrText xml:space="preserve"> PAGEREF _Toc345409251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3511F2BA" w14:textId="77777777" w:rsidR="00BB5DB7" w:rsidRDefault="001E7159">
          <w:pPr>
            <w:pStyle w:val="TOC1"/>
            <w:tabs>
              <w:tab w:val="right" w:leader="dot" w:pos="9016"/>
            </w:tabs>
            <w:rPr>
              <w:rFonts w:asciiTheme="minorHAnsi" w:eastAsiaTheme="minorEastAsia" w:hAnsiTheme="minorHAnsi"/>
              <w:noProof/>
              <w:lang w:eastAsia="en-GB"/>
            </w:rPr>
          </w:pPr>
          <w:hyperlink w:anchor="_Toc345409252" w:history="1">
            <w:r w:rsidR="00BB5DB7" w:rsidRPr="00D20EE3">
              <w:rPr>
                <w:rStyle w:val="Hyperlink"/>
                <w:noProof/>
              </w:rPr>
              <w:t>Appendix</w:t>
            </w:r>
            <w:r w:rsidR="00BB5DB7">
              <w:rPr>
                <w:noProof/>
                <w:webHidden/>
              </w:rPr>
              <w:tab/>
            </w:r>
            <w:r w:rsidR="00BB5DB7">
              <w:rPr>
                <w:noProof/>
                <w:webHidden/>
              </w:rPr>
              <w:fldChar w:fldCharType="begin"/>
            </w:r>
            <w:r w:rsidR="00BB5DB7">
              <w:rPr>
                <w:noProof/>
                <w:webHidden/>
              </w:rPr>
              <w:instrText xml:space="preserve"> PAGEREF _Toc345409252 \h </w:instrText>
            </w:r>
            <w:r w:rsidR="00BB5DB7">
              <w:rPr>
                <w:noProof/>
                <w:webHidden/>
              </w:rPr>
            </w:r>
            <w:r w:rsidR="00BB5DB7">
              <w:rPr>
                <w:noProof/>
                <w:webHidden/>
              </w:rPr>
              <w:fldChar w:fldCharType="separate"/>
            </w:r>
            <w:r w:rsidR="00BB5DB7">
              <w:rPr>
                <w:noProof/>
                <w:webHidden/>
              </w:rPr>
              <w:t>4</w:t>
            </w:r>
            <w:r w:rsidR="00BB5DB7">
              <w:rPr>
                <w:noProof/>
                <w:webHidden/>
              </w:rPr>
              <w:fldChar w:fldCharType="end"/>
            </w:r>
          </w:hyperlink>
        </w:p>
        <w:p w14:paraId="0C998764" w14:textId="77777777" w:rsidR="00EF3DD9" w:rsidRDefault="00EF3DD9">
          <w:r>
            <w:rPr>
              <w:b/>
              <w:bCs/>
              <w:noProof/>
            </w:rPr>
            <w:fldChar w:fldCharType="end"/>
          </w:r>
        </w:p>
      </w:sdtContent>
    </w:sdt>
    <w:p w14:paraId="78EBB52E" w14:textId="77777777" w:rsidR="00EF3DD9" w:rsidRDefault="00EF3DD9">
      <w:pPr>
        <w:spacing w:after="200" w:line="276" w:lineRule="auto"/>
        <w:rPr>
          <w:rFonts w:cs="Arial"/>
          <w:bCs/>
        </w:rPr>
      </w:pPr>
      <w:r>
        <w:rPr>
          <w:rFonts w:cs="Arial"/>
          <w:bCs/>
        </w:rPr>
        <w:br w:type="page"/>
      </w:r>
    </w:p>
    <w:p w14:paraId="0592AC36" w14:textId="77777777" w:rsidR="00EF3DD9" w:rsidRPr="00EF3DD9" w:rsidRDefault="00EF3DD9" w:rsidP="00EF3DD9">
      <w:pPr>
        <w:pStyle w:val="Heading1"/>
      </w:pPr>
      <w:bookmarkStart w:id="4" w:name="_Toc345409242"/>
      <w:r w:rsidRPr="00EF3DD9">
        <w:lastRenderedPageBreak/>
        <w:t>Policy: Name of Policy</w:t>
      </w:r>
      <w:bookmarkEnd w:id="4"/>
    </w:p>
    <w:p w14:paraId="66E548E4" w14:textId="77777777" w:rsidR="00EF3DD9" w:rsidRPr="00EF3DD9" w:rsidRDefault="00EF3DD9" w:rsidP="00EF3DD9">
      <w:pPr>
        <w:spacing w:after="200" w:line="276" w:lineRule="auto"/>
        <w:rPr>
          <w:rFonts w:cs="Arial"/>
          <w:bCs/>
        </w:rPr>
      </w:pPr>
    </w:p>
    <w:p w14:paraId="052A324A" w14:textId="77777777" w:rsidR="00EF3DD9" w:rsidRPr="00EF3DD9" w:rsidRDefault="00EF3DD9" w:rsidP="00EF3DD9">
      <w:pPr>
        <w:pStyle w:val="Heading2"/>
      </w:pPr>
      <w:bookmarkStart w:id="5" w:name="_Toc345409243"/>
      <w:r w:rsidRPr="00EF3DD9">
        <w:t>1.</w:t>
      </w:r>
      <w:r w:rsidRPr="00EF3DD9">
        <w:tab/>
        <w:t>Purpose</w:t>
      </w:r>
      <w:bookmarkEnd w:id="5"/>
    </w:p>
    <w:p w14:paraId="3ED80418" w14:textId="77777777" w:rsidR="00FD2C14" w:rsidRDefault="00FD2C14" w:rsidP="00FD2C14">
      <w:r>
        <w:t xml:space="preserve">The purpose of this document is to outline the policy around the </w:t>
      </w:r>
      <w:r w:rsidR="004E631F">
        <w:t>treatment</w:t>
      </w:r>
      <w:r w:rsidR="006B793B">
        <w:t xml:space="preserve"> of intercompany </w:t>
      </w:r>
      <w:r w:rsidR="004E631F">
        <w:t xml:space="preserve">transactions between ColArt related entities. </w:t>
      </w:r>
    </w:p>
    <w:p w14:paraId="0021E3F1" w14:textId="77777777" w:rsidR="00EF3DD9" w:rsidRPr="00EF3DD9" w:rsidRDefault="00EF3DD9" w:rsidP="00EF3DD9">
      <w:pPr>
        <w:spacing w:after="200" w:line="276" w:lineRule="auto"/>
        <w:rPr>
          <w:rFonts w:cs="Arial"/>
          <w:bCs/>
        </w:rPr>
      </w:pPr>
    </w:p>
    <w:p w14:paraId="2F323226" w14:textId="77777777" w:rsidR="00EF3DD9" w:rsidRDefault="00EF3DD9" w:rsidP="00EF3DD9">
      <w:pPr>
        <w:pStyle w:val="Heading2"/>
      </w:pPr>
      <w:bookmarkStart w:id="6" w:name="_Toc345409244"/>
      <w:r w:rsidRPr="00EF3DD9">
        <w:t>2.</w:t>
      </w:r>
      <w:r w:rsidRPr="00EF3DD9">
        <w:tab/>
        <w:t>Definition</w:t>
      </w:r>
      <w:bookmarkEnd w:id="6"/>
    </w:p>
    <w:p w14:paraId="33BAABFB" w14:textId="77777777" w:rsidR="00EF3DD9" w:rsidRDefault="006B793B" w:rsidP="00EF3DD9">
      <w:r>
        <w:t xml:space="preserve">An intercompany </w:t>
      </w:r>
      <w:r w:rsidR="004E631F">
        <w:t>transaction</w:t>
      </w:r>
      <w:r>
        <w:t xml:space="preserve"> is a transaction between two ColArt group companies where one company has the right to payment from another company based on a service that was provided or product that was delivered. </w:t>
      </w:r>
      <w:r w:rsidR="004E631F">
        <w:t xml:space="preserve"> This also applies to instances where one company made a purchase on behalf of another group company.  It is important to understand whether the charges that are being transacted will require a mark-up for statutory purposes. If in doubt, please contact the Group Controller. </w:t>
      </w:r>
    </w:p>
    <w:p w14:paraId="1B648BAF" w14:textId="77777777" w:rsidR="006B793B" w:rsidRPr="00EF3DD9" w:rsidRDefault="006B793B" w:rsidP="00EF3DD9"/>
    <w:p w14:paraId="7B4F87B2" w14:textId="77777777" w:rsidR="00EF3DD9" w:rsidRPr="00EF3DD9" w:rsidRDefault="00EF3DD9" w:rsidP="00EF3DD9">
      <w:pPr>
        <w:pStyle w:val="Heading2"/>
      </w:pPr>
      <w:bookmarkStart w:id="7" w:name="_Toc345409245"/>
      <w:r w:rsidRPr="00EF3DD9">
        <w:t>3.</w:t>
      </w:r>
      <w:r w:rsidRPr="00EF3DD9">
        <w:tab/>
        <w:t>Principles</w:t>
      </w:r>
      <w:bookmarkEnd w:id="7"/>
    </w:p>
    <w:p w14:paraId="3515B0AD" w14:textId="77777777" w:rsidR="00EF3DD9" w:rsidRPr="00EF3DD9" w:rsidRDefault="004E631F" w:rsidP="00EF3DD9">
      <w:pPr>
        <w:spacing w:after="200" w:line="276" w:lineRule="auto"/>
        <w:rPr>
          <w:rFonts w:cs="Arial"/>
          <w:bCs/>
        </w:rPr>
      </w:pPr>
      <w:r>
        <w:rPr>
          <w:rFonts w:cs="Arial"/>
          <w:bCs/>
        </w:rPr>
        <w:t xml:space="preserve">The key principles this policy is designed around are driven by statutory requirements to ensure that cost are captured </w:t>
      </w:r>
      <w:r w:rsidR="00436023">
        <w:rPr>
          <w:rFonts w:cs="Arial"/>
          <w:bCs/>
        </w:rPr>
        <w:t xml:space="preserve">in the entity that is the driver of the expenses (from a beneficiary perspective). In addition however the policy is also built around materiality to ensure that the Finance organization uses its time to drive the best possible value for the organization. </w:t>
      </w:r>
    </w:p>
    <w:p w14:paraId="1C279DD0" w14:textId="77777777" w:rsidR="00EF3DD9" w:rsidRDefault="00EF3DD9" w:rsidP="00EF3DD9">
      <w:pPr>
        <w:pStyle w:val="Heading2"/>
      </w:pPr>
      <w:bookmarkStart w:id="8" w:name="_Toc345409246"/>
      <w:r w:rsidRPr="00EF3DD9">
        <w:t xml:space="preserve">4. </w:t>
      </w:r>
      <w:r>
        <w:t>Policy Details</w:t>
      </w:r>
      <w:bookmarkEnd w:id="8"/>
    </w:p>
    <w:p w14:paraId="36DDFA8C" w14:textId="77777777" w:rsidR="006B793B" w:rsidRDefault="006B793B" w:rsidP="006B793B">
      <w:pPr>
        <w:rPr>
          <w:b/>
          <w:bCs/>
        </w:rPr>
      </w:pPr>
    </w:p>
    <w:p w14:paraId="7CE1995C" w14:textId="77777777" w:rsidR="00436023" w:rsidRPr="00944F7E" w:rsidRDefault="006B793B" w:rsidP="00436023">
      <w:pPr>
        <w:rPr>
          <w:b/>
          <w:bCs/>
        </w:rPr>
      </w:pPr>
      <w:r w:rsidRPr="00944F7E">
        <w:rPr>
          <w:b/>
          <w:bCs/>
        </w:rPr>
        <w:t>Timing</w:t>
      </w:r>
      <w:r w:rsidR="00436023" w:rsidRPr="00944F7E">
        <w:rPr>
          <w:b/>
          <w:bCs/>
        </w:rPr>
        <w:t xml:space="preserve"> of recording transactions</w:t>
      </w:r>
    </w:p>
    <w:p w14:paraId="75C549B7" w14:textId="77777777" w:rsidR="00436023" w:rsidRPr="00AA4A8C" w:rsidRDefault="006B793B" w:rsidP="00436023">
      <w:pPr>
        <w:pStyle w:val="ListParagraph"/>
        <w:numPr>
          <w:ilvl w:val="0"/>
          <w:numId w:val="10"/>
        </w:numPr>
      </w:pPr>
      <w:r w:rsidRPr="00436023">
        <w:rPr>
          <w:bCs/>
        </w:rPr>
        <w:t xml:space="preserve">All inter-company transactions need to be processed and confirmed by the end of the third day of the close.  </w:t>
      </w:r>
    </w:p>
    <w:p w14:paraId="2CA9F5E1" w14:textId="77777777" w:rsidR="00AA4A8C" w:rsidRPr="00436023" w:rsidRDefault="00AA4A8C" w:rsidP="00AA4A8C">
      <w:pPr>
        <w:pStyle w:val="ListParagraph"/>
        <w:numPr>
          <w:ilvl w:val="1"/>
          <w:numId w:val="10"/>
        </w:numPr>
      </w:pPr>
      <w:r>
        <w:rPr>
          <w:bCs/>
        </w:rPr>
        <w:t>Given this deadline, the expectation is that intercompany transactions are processed during the month to the highest degree possible</w:t>
      </w:r>
    </w:p>
    <w:p w14:paraId="0F4A9115" w14:textId="77777777" w:rsidR="00436023" w:rsidRPr="00436023" w:rsidRDefault="00436023" w:rsidP="00436023">
      <w:pPr>
        <w:pStyle w:val="ListParagraph"/>
        <w:numPr>
          <w:ilvl w:val="0"/>
          <w:numId w:val="10"/>
        </w:numPr>
      </w:pPr>
      <w:r>
        <w:rPr>
          <w:bCs/>
        </w:rPr>
        <w:t>Confirmation is defined as having received confirmation by the receiving party that they will accept the intercompany transaction</w:t>
      </w:r>
    </w:p>
    <w:p w14:paraId="3AAC8C06" w14:textId="77777777" w:rsidR="006B793B" w:rsidRDefault="006B793B" w:rsidP="00436023">
      <w:pPr>
        <w:pStyle w:val="ListParagraph"/>
        <w:numPr>
          <w:ilvl w:val="0"/>
          <w:numId w:val="10"/>
        </w:numPr>
        <w:rPr>
          <w:b/>
        </w:rPr>
      </w:pPr>
      <w:r w:rsidRPr="00436023">
        <w:rPr>
          <w:b/>
          <w:bCs/>
        </w:rPr>
        <w:t>Should a transaction not be confirmed according to the processes below, it cannot be recognized as an inter-company transaction to avoid reconciliation issues.</w:t>
      </w:r>
      <w:r w:rsidRPr="00436023">
        <w:rPr>
          <w:b/>
        </w:rPr>
        <w:t xml:space="preserve"> </w:t>
      </w:r>
    </w:p>
    <w:p w14:paraId="0884A144" w14:textId="77777777" w:rsidR="00436023" w:rsidRPr="00AA4A8C" w:rsidRDefault="00436023" w:rsidP="00436023">
      <w:pPr>
        <w:pStyle w:val="ListParagraph"/>
        <w:numPr>
          <w:ilvl w:val="0"/>
          <w:numId w:val="10"/>
        </w:numPr>
        <w:rPr>
          <w:b/>
        </w:rPr>
      </w:pPr>
      <w:r>
        <w:t xml:space="preserve">Issues associated with settling intercompany </w:t>
      </w:r>
      <w:r w:rsidR="00AA4A8C">
        <w:t xml:space="preserve">transactions should be first resolved between the two companies, if needed issues should be escalated, with proper documentation to the Group Controller. </w:t>
      </w:r>
    </w:p>
    <w:p w14:paraId="632B746F" w14:textId="77777777" w:rsidR="00AA4A8C" w:rsidRPr="00436023" w:rsidRDefault="00AA4A8C" w:rsidP="00AA4A8C">
      <w:pPr>
        <w:pStyle w:val="ListParagraph"/>
        <w:rPr>
          <w:b/>
        </w:rPr>
      </w:pPr>
    </w:p>
    <w:p w14:paraId="151EB226" w14:textId="77777777" w:rsidR="006B793B" w:rsidRDefault="006B793B" w:rsidP="00AA4A8C">
      <w:r>
        <w:t xml:space="preserve">Please note that ColArt will participate in Lindengruppen’s automatic settlement process of intercompany receivables from February on-ward. As such it is critical that the guidelines will be implemented and adhered to as the success of the netting process depends on a timely completion of the intercompany reconciliation. </w:t>
      </w:r>
    </w:p>
    <w:p w14:paraId="55A51DE4" w14:textId="77777777" w:rsidR="006B793B" w:rsidRDefault="006B793B" w:rsidP="006B793B"/>
    <w:p w14:paraId="3A78959C" w14:textId="77777777" w:rsidR="006B793B" w:rsidRDefault="006B793B" w:rsidP="006B793B">
      <w:r>
        <w:t>Transactions can be broken out into the following:</w:t>
      </w:r>
    </w:p>
    <w:p w14:paraId="3F105D16" w14:textId="77777777" w:rsidR="006B793B" w:rsidRDefault="006B793B" w:rsidP="006B793B"/>
    <w:p w14:paraId="71CFDF8B" w14:textId="77777777" w:rsidR="006B793B" w:rsidRDefault="006B793B" w:rsidP="006B793B">
      <w:pPr>
        <w:pStyle w:val="ListParagraph"/>
        <w:numPr>
          <w:ilvl w:val="0"/>
          <w:numId w:val="7"/>
        </w:numPr>
        <w:contextualSpacing w:val="0"/>
      </w:pPr>
      <w:r>
        <w:t>Inventory transactions (purchases)</w:t>
      </w:r>
    </w:p>
    <w:p w14:paraId="4EBFCD6F" w14:textId="77777777" w:rsidR="006B793B" w:rsidRDefault="006B793B" w:rsidP="006B793B">
      <w:pPr>
        <w:pStyle w:val="ListParagraph"/>
        <w:numPr>
          <w:ilvl w:val="0"/>
          <w:numId w:val="7"/>
        </w:numPr>
        <w:contextualSpacing w:val="0"/>
      </w:pPr>
      <w:r>
        <w:t>Recharges agreed prior to the close period</w:t>
      </w:r>
    </w:p>
    <w:p w14:paraId="2F38F16B" w14:textId="77777777" w:rsidR="006B793B" w:rsidRDefault="006B793B" w:rsidP="006B793B">
      <w:pPr>
        <w:pStyle w:val="ListParagraph"/>
        <w:numPr>
          <w:ilvl w:val="0"/>
          <w:numId w:val="7"/>
        </w:numPr>
        <w:contextualSpacing w:val="0"/>
      </w:pPr>
      <w:r>
        <w:lastRenderedPageBreak/>
        <w:t>Non-standard recharges</w:t>
      </w:r>
    </w:p>
    <w:p w14:paraId="36926466" w14:textId="77777777" w:rsidR="006B793B" w:rsidRDefault="006B793B" w:rsidP="006B793B"/>
    <w:p w14:paraId="29225E52" w14:textId="77777777" w:rsidR="006B793B" w:rsidRDefault="006B793B" w:rsidP="006B793B">
      <w:r>
        <w:t xml:space="preserve">The description below references intercompany invoices; pending feasibility to issue invoices in a timely fashion e-mail correspondence to substantiate an accrual is acceptable. However, intercompany invoices should be issued as soon as possible. </w:t>
      </w:r>
    </w:p>
    <w:p w14:paraId="26892B49" w14:textId="77777777" w:rsidR="006B793B" w:rsidRDefault="006B793B" w:rsidP="006B793B"/>
    <w:p w14:paraId="774E4B89" w14:textId="77777777" w:rsidR="006B793B" w:rsidRDefault="006B793B" w:rsidP="006B793B">
      <w:pPr>
        <w:pStyle w:val="ListParagraph"/>
        <w:numPr>
          <w:ilvl w:val="0"/>
          <w:numId w:val="8"/>
        </w:numPr>
        <w:contextualSpacing w:val="0"/>
      </w:pPr>
      <w:r>
        <w:t>Inventory transactions:</w:t>
      </w:r>
    </w:p>
    <w:p w14:paraId="11B4B392" w14:textId="77777777" w:rsidR="006B793B" w:rsidRDefault="006B793B" w:rsidP="006B793B">
      <w:pPr>
        <w:pStyle w:val="ListParagraph"/>
        <w:numPr>
          <w:ilvl w:val="1"/>
          <w:numId w:val="8"/>
        </w:numPr>
        <w:contextualSpacing w:val="0"/>
      </w:pPr>
      <w:r>
        <w:t>Automated in M3 for participating entities</w:t>
      </w:r>
    </w:p>
    <w:p w14:paraId="5C59919F" w14:textId="77777777" w:rsidR="006B793B" w:rsidRDefault="006B793B" w:rsidP="006B793B">
      <w:pPr>
        <w:pStyle w:val="ListParagraph"/>
        <w:numPr>
          <w:ilvl w:val="1"/>
          <w:numId w:val="8"/>
        </w:numPr>
        <w:contextualSpacing w:val="0"/>
      </w:pPr>
      <w:r>
        <w:t>For non M3 transactions</w:t>
      </w:r>
    </w:p>
    <w:p w14:paraId="733479B1" w14:textId="77777777" w:rsidR="006B793B" w:rsidRDefault="006B793B" w:rsidP="006B793B">
      <w:pPr>
        <w:pStyle w:val="ListParagraph"/>
        <w:numPr>
          <w:ilvl w:val="2"/>
          <w:numId w:val="8"/>
        </w:numPr>
        <w:contextualSpacing w:val="0"/>
      </w:pPr>
      <w:r>
        <w:t>Plant sends intercompany invoice to receiving entity</w:t>
      </w:r>
    </w:p>
    <w:p w14:paraId="3F2D81F3" w14:textId="77777777" w:rsidR="006B793B" w:rsidRDefault="006B793B" w:rsidP="006B793B">
      <w:pPr>
        <w:pStyle w:val="ListParagraph"/>
        <w:numPr>
          <w:ilvl w:val="2"/>
          <w:numId w:val="8"/>
        </w:numPr>
        <w:contextualSpacing w:val="0"/>
      </w:pPr>
      <w:r>
        <w:t>Receiving entity creates journal and acknowledges back to plant</w:t>
      </w:r>
    </w:p>
    <w:p w14:paraId="4FDF0A7D" w14:textId="77777777" w:rsidR="006B793B" w:rsidRDefault="006B793B" w:rsidP="006B793B">
      <w:pPr>
        <w:pStyle w:val="ListParagraph"/>
        <w:numPr>
          <w:ilvl w:val="2"/>
          <w:numId w:val="8"/>
        </w:numPr>
        <w:contextualSpacing w:val="0"/>
      </w:pPr>
      <w:r>
        <w:t>Plant creates journal entry</w:t>
      </w:r>
    </w:p>
    <w:p w14:paraId="3AA234A1" w14:textId="77777777" w:rsidR="006B793B" w:rsidRDefault="006B793B" w:rsidP="006B793B">
      <w:pPr>
        <w:pStyle w:val="ListParagraph"/>
        <w:numPr>
          <w:ilvl w:val="2"/>
          <w:numId w:val="8"/>
        </w:numPr>
        <w:contextualSpacing w:val="0"/>
      </w:pPr>
      <w:r>
        <w:t>With regards to discrepancies</w:t>
      </w:r>
    </w:p>
    <w:p w14:paraId="7BC9C872" w14:textId="77777777" w:rsidR="006B793B" w:rsidRDefault="006B793B" w:rsidP="006B793B">
      <w:pPr>
        <w:pStyle w:val="ListParagraph"/>
        <w:numPr>
          <w:ilvl w:val="3"/>
          <w:numId w:val="8"/>
        </w:numPr>
        <w:contextualSpacing w:val="0"/>
      </w:pPr>
      <w:r>
        <w:t>Receiving entity will book the invoice</w:t>
      </w:r>
    </w:p>
    <w:p w14:paraId="071BB3F4" w14:textId="77777777" w:rsidR="006B793B" w:rsidRDefault="006B793B" w:rsidP="006B793B">
      <w:pPr>
        <w:pStyle w:val="ListParagraph"/>
        <w:numPr>
          <w:ilvl w:val="3"/>
          <w:numId w:val="8"/>
        </w:numPr>
        <w:contextualSpacing w:val="0"/>
      </w:pPr>
      <w:r>
        <w:t>Differences will be reconciled post close but before next close and follow the same process for credit or debit notes</w:t>
      </w:r>
    </w:p>
    <w:p w14:paraId="4CD358C1" w14:textId="77777777" w:rsidR="006B793B" w:rsidRDefault="006B793B" w:rsidP="006B793B">
      <w:pPr>
        <w:pStyle w:val="ListParagraph"/>
      </w:pPr>
    </w:p>
    <w:p w14:paraId="6300B808" w14:textId="77777777" w:rsidR="006B793B" w:rsidRDefault="006B793B" w:rsidP="006B793B">
      <w:pPr>
        <w:pStyle w:val="ListParagraph"/>
        <w:numPr>
          <w:ilvl w:val="0"/>
          <w:numId w:val="8"/>
        </w:numPr>
        <w:contextualSpacing w:val="0"/>
      </w:pPr>
      <w:r>
        <w:t>Recharges agreed prior to t</w:t>
      </w:r>
      <w:r w:rsidR="00AA4A8C">
        <w:t>he close period. Can be project-</w:t>
      </w:r>
      <w:r>
        <w:t>related recharges</w:t>
      </w:r>
      <w:r w:rsidR="00AA4A8C">
        <w:t>, one-off</w:t>
      </w:r>
      <w:r>
        <w:t xml:space="preserve"> or standing recharges</w:t>
      </w:r>
      <w:r w:rsidR="00AA4A8C">
        <w:t>, for example for</w:t>
      </w:r>
      <w:r>
        <w:t xml:space="preserve"> management fees. </w:t>
      </w:r>
      <w:r w:rsidR="00AA4A8C">
        <w:t>The p</w:t>
      </w:r>
      <w:r>
        <w:t xml:space="preserve">rocess follows the process under 1) for the most part. </w:t>
      </w:r>
    </w:p>
    <w:p w14:paraId="2DA0F588" w14:textId="77777777" w:rsidR="006B793B" w:rsidRDefault="006B793B" w:rsidP="006B793B">
      <w:pPr>
        <w:pStyle w:val="ListParagraph"/>
        <w:numPr>
          <w:ilvl w:val="1"/>
          <w:numId w:val="8"/>
        </w:numPr>
        <w:contextualSpacing w:val="0"/>
      </w:pPr>
      <w:r>
        <w:t>If agreed and signed up previously, invoicing entity sends intercompany invoice to receiving entity</w:t>
      </w:r>
    </w:p>
    <w:p w14:paraId="12F82818" w14:textId="77777777" w:rsidR="006B793B" w:rsidRDefault="006B793B" w:rsidP="006B793B">
      <w:pPr>
        <w:pStyle w:val="ListParagraph"/>
        <w:numPr>
          <w:ilvl w:val="1"/>
          <w:numId w:val="8"/>
        </w:numPr>
        <w:contextualSpacing w:val="0"/>
      </w:pPr>
      <w:r>
        <w:t>Receiving entity creates journal and acknowledges back to invoicing entity</w:t>
      </w:r>
    </w:p>
    <w:p w14:paraId="5526D159" w14:textId="77777777" w:rsidR="006B793B" w:rsidRDefault="006B793B" w:rsidP="006B793B">
      <w:pPr>
        <w:pStyle w:val="ListParagraph"/>
        <w:numPr>
          <w:ilvl w:val="1"/>
          <w:numId w:val="8"/>
        </w:numPr>
        <w:contextualSpacing w:val="0"/>
      </w:pPr>
      <w:r>
        <w:t>Invoicing entity creates journal entry</w:t>
      </w:r>
    </w:p>
    <w:p w14:paraId="4D3A18C0" w14:textId="77777777" w:rsidR="006B793B" w:rsidRDefault="006B793B" w:rsidP="00AA4A8C">
      <w:pPr>
        <w:ind w:left="1418"/>
      </w:pPr>
      <w:r>
        <w:t>Where possible, recurring transactions should be handled via recurring entries; however, a quarterly true-up should be performed if needed.</w:t>
      </w:r>
    </w:p>
    <w:p w14:paraId="48D45A49" w14:textId="77777777" w:rsidR="00AA4A8C" w:rsidRDefault="00AA4A8C" w:rsidP="00AA4A8C">
      <w:pPr>
        <w:ind w:left="1418"/>
      </w:pPr>
    </w:p>
    <w:p w14:paraId="159888E0" w14:textId="77777777" w:rsidR="00AA4A8C" w:rsidRDefault="00AA4A8C" w:rsidP="00AA4A8C">
      <w:pPr>
        <w:ind w:left="1418"/>
      </w:pPr>
      <w:r>
        <w:t>If the invoices are project-related it is imperative that this is called out in order for the receiving party to be able to track project spend.  Also, recharges need to be clearly approved in advance to qualify for this treatment. For all non-pre approved invoices the steps under 3. apply</w:t>
      </w:r>
    </w:p>
    <w:p w14:paraId="17C7B180" w14:textId="77777777" w:rsidR="006B793B" w:rsidRDefault="006B793B" w:rsidP="006B793B">
      <w:pPr>
        <w:pStyle w:val="ListParagraph"/>
      </w:pPr>
    </w:p>
    <w:p w14:paraId="62F130D9" w14:textId="77777777" w:rsidR="006B793B" w:rsidRDefault="006B793B" w:rsidP="006B793B">
      <w:pPr>
        <w:pStyle w:val="ListParagraph"/>
        <w:numPr>
          <w:ilvl w:val="0"/>
          <w:numId w:val="8"/>
        </w:numPr>
        <w:contextualSpacing w:val="0"/>
      </w:pPr>
      <w:r>
        <w:t>Non Standard Recharges, e.g. recharges of promotional materials, samples. Here the process changes</w:t>
      </w:r>
    </w:p>
    <w:p w14:paraId="59EBDB42" w14:textId="77777777" w:rsidR="006B793B" w:rsidRDefault="006B793B" w:rsidP="006B793B">
      <w:pPr>
        <w:pStyle w:val="ListParagraph"/>
        <w:numPr>
          <w:ilvl w:val="1"/>
          <w:numId w:val="8"/>
        </w:numPr>
        <w:contextualSpacing w:val="0"/>
      </w:pPr>
      <w:r>
        <w:t>The invoicing entity will inform the receiving entity of the  planned charge, including specifications (e-mails showing prior agreement on charge, specifications outlining reason for charge back such as samples by country)</w:t>
      </w:r>
    </w:p>
    <w:p w14:paraId="4847586E" w14:textId="77777777" w:rsidR="006B793B" w:rsidRDefault="006B793B" w:rsidP="006B793B">
      <w:pPr>
        <w:pStyle w:val="ListParagraph"/>
        <w:numPr>
          <w:ilvl w:val="1"/>
          <w:numId w:val="8"/>
        </w:numPr>
        <w:contextualSpacing w:val="0"/>
      </w:pPr>
      <w:r>
        <w:t>The receiving entity will need to agree to the charge</w:t>
      </w:r>
    </w:p>
    <w:p w14:paraId="74184B8D" w14:textId="77777777" w:rsidR="006B793B" w:rsidRDefault="006B793B" w:rsidP="006B793B">
      <w:pPr>
        <w:pStyle w:val="ListParagraph"/>
        <w:numPr>
          <w:ilvl w:val="2"/>
          <w:numId w:val="8"/>
        </w:numPr>
        <w:contextualSpacing w:val="0"/>
      </w:pPr>
      <w:r>
        <w:t>If the entity agrees, it will make the entry and confirm back to the invoicing entity the amount</w:t>
      </w:r>
    </w:p>
    <w:p w14:paraId="63174706" w14:textId="77777777" w:rsidR="006B793B" w:rsidRDefault="006B793B" w:rsidP="006B793B">
      <w:pPr>
        <w:pStyle w:val="ListParagraph"/>
        <w:numPr>
          <w:ilvl w:val="2"/>
          <w:numId w:val="8"/>
        </w:numPr>
        <w:contextualSpacing w:val="0"/>
      </w:pPr>
      <w:r>
        <w:t>If the entity disagrees, it needs to outline the reason for this to the invoicing entity (no entry to be made at this time!)</w:t>
      </w:r>
    </w:p>
    <w:p w14:paraId="0F0C931D" w14:textId="77777777" w:rsidR="006B793B" w:rsidRDefault="006B793B" w:rsidP="006B793B">
      <w:pPr>
        <w:pStyle w:val="ListParagraph"/>
        <w:numPr>
          <w:ilvl w:val="2"/>
          <w:numId w:val="8"/>
        </w:numPr>
        <w:contextualSpacing w:val="0"/>
      </w:pPr>
      <w:r>
        <w:t>The invoicing entity will investigate and communicate findings</w:t>
      </w:r>
    </w:p>
    <w:p w14:paraId="70748285" w14:textId="77777777" w:rsidR="006B793B" w:rsidRDefault="006B793B" w:rsidP="006B793B">
      <w:pPr>
        <w:pStyle w:val="ListParagraph"/>
        <w:numPr>
          <w:ilvl w:val="2"/>
          <w:numId w:val="8"/>
        </w:numPr>
        <w:contextualSpacing w:val="0"/>
      </w:pPr>
      <w:r>
        <w:t>Receiving entity will acknowledge (assuming the clarification was satisfactory) and create a journal</w:t>
      </w:r>
    </w:p>
    <w:p w14:paraId="40C010FE" w14:textId="77777777" w:rsidR="006B793B" w:rsidRDefault="006B793B" w:rsidP="006B793B">
      <w:pPr>
        <w:pStyle w:val="ListParagraph"/>
        <w:numPr>
          <w:ilvl w:val="2"/>
          <w:numId w:val="8"/>
        </w:numPr>
        <w:contextualSpacing w:val="0"/>
      </w:pPr>
      <w:r>
        <w:t>Invoicing entity will enter a journal at this point</w:t>
      </w:r>
    </w:p>
    <w:p w14:paraId="2358B0AC" w14:textId="77777777" w:rsidR="006B793B" w:rsidRDefault="006B793B" w:rsidP="006B793B"/>
    <w:p w14:paraId="1C7E8C81" w14:textId="77777777" w:rsidR="00944F7E" w:rsidRDefault="006B793B" w:rsidP="006B793B">
      <w:r w:rsidRPr="00944F7E">
        <w:rPr>
          <w:b/>
        </w:rPr>
        <w:t>Settlement</w:t>
      </w:r>
      <w:r>
        <w:t xml:space="preserve">: </w:t>
      </w:r>
    </w:p>
    <w:p w14:paraId="3DE0F86C" w14:textId="77777777" w:rsidR="006B793B" w:rsidRDefault="006B793B" w:rsidP="006B793B">
      <w:r>
        <w:t>Generally all intercompany invoices should be settled in the month after when the position was first created.</w:t>
      </w:r>
      <w:r w:rsidR="00944F7E">
        <w:t xml:space="preserve"> This is consistent with Lindengruppen’s approach to netting intercompany receivables. </w:t>
      </w:r>
      <w:r>
        <w:t xml:space="preserve"> Aside from avoiding a build-up of intercompany receivables this will </w:t>
      </w:r>
      <w:r w:rsidR="00944F7E">
        <w:t>minimize</w:t>
      </w:r>
      <w:r>
        <w:t xml:space="preserve"> FX risk in cases where we have constellations of currency differences between Creditor and Debtor.</w:t>
      </w:r>
    </w:p>
    <w:p w14:paraId="7AA70C9D" w14:textId="77777777" w:rsidR="006B793B" w:rsidRPr="00D2314E" w:rsidRDefault="006B793B" w:rsidP="006B793B">
      <w:pPr>
        <w:pStyle w:val="ListParagraph"/>
        <w:ind w:left="1440"/>
      </w:pPr>
    </w:p>
    <w:p w14:paraId="759BEAE1" w14:textId="77777777" w:rsidR="00944F7E" w:rsidRPr="00944F7E" w:rsidRDefault="00944F7E" w:rsidP="006B793B">
      <w:pPr>
        <w:rPr>
          <w:b/>
          <w:bCs/>
        </w:rPr>
      </w:pPr>
      <w:r w:rsidRPr="00944F7E">
        <w:rPr>
          <w:b/>
          <w:bCs/>
        </w:rPr>
        <w:lastRenderedPageBreak/>
        <w:t>Additional requirements</w:t>
      </w:r>
    </w:p>
    <w:p w14:paraId="798E9FB6" w14:textId="77777777" w:rsidR="00944F7E" w:rsidRDefault="00944F7E" w:rsidP="006B793B">
      <w:pPr>
        <w:rPr>
          <w:bCs/>
        </w:rPr>
      </w:pPr>
    </w:p>
    <w:p w14:paraId="6F92118F" w14:textId="77777777" w:rsidR="006B793B" w:rsidRDefault="006B793B" w:rsidP="00944F7E">
      <w:pPr>
        <w:pStyle w:val="ListParagraph"/>
        <w:numPr>
          <w:ilvl w:val="0"/>
          <w:numId w:val="8"/>
        </w:numPr>
        <w:rPr>
          <w:bCs/>
          <w:u w:val="single"/>
        </w:rPr>
      </w:pPr>
      <w:r w:rsidRPr="00944F7E">
        <w:rPr>
          <w:bCs/>
        </w:rPr>
        <w:t xml:space="preserve">No entry should be made without the counter-parties agreement in line with the process to avoid out-of-balances. In all instances Group Finance is the arbiter  where issues prevent entities from reaching agreement.  If the transaction has not been confirmed in line with the above it cannot be transacted; </w:t>
      </w:r>
      <w:r w:rsidRPr="00944F7E">
        <w:rPr>
          <w:bCs/>
          <w:u w:val="single"/>
        </w:rPr>
        <w:t xml:space="preserve">it is not permitted to shift the transaction to another part of the balance sheet. </w:t>
      </w:r>
    </w:p>
    <w:p w14:paraId="51B8924F" w14:textId="77777777" w:rsidR="006B793B" w:rsidRDefault="006B793B" w:rsidP="006B793B">
      <w:pPr>
        <w:pStyle w:val="ListParagraph"/>
        <w:numPr>
          <w:ilvl w:val="0"/>
          <w:numId w:val="8"/>
        </w:numPr>
        <w:rPr>
          <w:bCs/>
        </w:rPr>
      </w:pPr>
      <w:r w:rsidRPr="00944F7E">
        <w:rPr>
          <w:bCs/>
        </w:rPr>
        <w:t xml:space="preserve">All transactions require the appropriate documentation in form of invoices, purchase orders etc. </w:t>
      </w:r>
      <w:r w:rsidR="00944F7E">
        <w:rPr>
          <w:bCs/>
        </w:rPr>
        <w:t xml:space="preserve"> The backup needs to be submitted as part of the notice to the receiving party</w:t>
      </w:r>
    </w:p>
    <w:p w14:paraId="30D1C82D" w14:textId="77777777" w:rsidR="006B793B" w:rsidRDefault="006B793B" w:rsidP="006B793B">
      <w:pPr>
        <w:pStyle w:val="ListParagraph"/>
        <w:numPr>
          <w:ilvl w:val="0"/>
          <w:numId w:val="8"/>
        </w:numPr>
        <w:rPr>
          <w:bCs/>
        </w:rPr>
      </w:pPr>
      <w:r w:rsidRPr="00944F7E">
        <w:rPr>
          <w:bCs/>
        </w:rPr>
        <w:t>All inter-company transactions (excluding stock movements) have a materiality threshold of £</w:t>
      </w:r>
      <w:r w:rsidR="00944F7E">
        <w:rPr>
          <w:bCs/>
        </w:rPr>
        <w:t>10</w:t>
      </w:r>
      <w:r w:rsidR="00D2314E" w:rsidRPr="00944F7E">
        <w:rPr>
          <w:bCs/>
        </w:rPr>
        <w:t>0</w:t>
      </w:r>
      <w:r w:rsidRPr="00944F7E">
        <w:rPr>
          <w:bCs/>
        </w:rPr>
        <w:t>; individual transactions below this level should not be processed.  A charge can consist of multiple items tha</w:t>
      </w:r>
      <w:r w:rsidR="00944F7E">
        <w:rPr>
          <w:bCs/>
        </w:rPr>
        <w:t>t in aggregate are larger than £100</w:t>
      </w:r>
      <w:r w:rsidRPr="00944F7E">
        <w:rPr>
          <w:bCs/>
        </w:rPr>
        <w:t xml:space="preserve"> in which case the transaction can go ahead. </w:t>
      </w:r>
    </w:p>
    <w:p w14:paraId="7AF93A44" w14:textId="77777777" w:rsidR="00CE274D" w:rsidRPr="00944F7E" w:rsidRDefault="00CE274D" w:rsidP="006B793B">
      <w:pPr>
        <w:pStyle w:val="ListParagraph"/>
        <w:numPr>
          <w:ilvl w:val="0"/>
          <w:numId w:val="8"/>
        </w:numPr>
        <w:rPr>
          <w:bCs/>
        </w:rPr>
      </w:pPr>
      <w:r>
        <w:rPr>
          <w:bCs/>
        </w:rPr>
        <w:t>Approvals of intercompany invoices follow ColArt’s standard approval hierarchy (excluding automated transactions), i.e. the appropriate level of authority needs to approve an intercompany invoice prior to it being confirmed back to the sending party</w:t>
      </w:r>
    </w:p>
    <w:p w14:paraId="463D2D53" w14:textId="77777777" w:rsidR="006B793B" w:rsidRPr="00D2314E" w:rsidRDefault="006B793B" w:rsidP="006B793B">
      <w:pPr>
        <w:rPr>
          <w:bCs/>
        </w:rPr>
      </w:pPr>
    </w:p>
    <w:p w14:paraId="3400B546" w14:textId="77777777" w:rsidR="006B793B" w:rsidRPr="00D2314E" w:rsidRDefault="006B793B" w:rsidP="006B793B">
      <w:pPr>
        <w:rPr>
          <w:bCs/>
        </w:rPr>
      </w:pPr>
      <w:r w:rsidRPr="00D2314E">
        <w:rPr>
          <w:bCs/>
        </w:rPr>
        <w:t>In summary</w:t>
      </w:r>
    </w:p>
    <w:p w14:paraId="1A371C64" w14:textId="77777777" w:rsidR="006B793B" w:rsidRPr="00D2314E" w:rsidRDefault="006B793B" w:rsidP="00CE274D">
      <w:pPr>
        <w:pStyle w:val="ListParagraph"/>
        <w:numPr>
          <w:ilvl w:val="3"/>
          <w:numId w:val="7"/>
        </w:numPr>
        <w:ind w:left="1985" w:hanging="425"/>
        <w:contextualSpacing w:val="0"/>
        <w:rPr>
          <w:bCs/>
        </w:rPr>
      </w:pPr>
      <w:r w:rsidRPr="00D2314E">
        <w:rPr>
          <w:bCs/>
        </w:rPr>
        <w:t>All intercompany transactions need to be completed by working day three of the close (end of day)</w:t>
      </w:r>
    </w:p>
    <w:p w14:paraId="4F48F9A0" w14:textId="77777777" w:rsidR="006B793B" w:rsidRPr="00D2314E" w:rsidRDefault="006B793B" w:rsidP="00CE274D">
      <w:pPr>
        <w:pStyle w:val="ListParagraph"/>
        <w:numPr>
          <w:ilvl w:val="3"/>
          <w:numId w:val="7"/>
        </w:numPr>
        <w:ind w:left="1985" w:hanging="425"/>
        <w:contextualSpacing w:val="0"/>
        <w:rPr>
          <w:bCs/>
        </w:rPr>
      </w:pPr>
      <w:r w:rsidRPr="00D2314E">
        <w:rPr>
          <w:bCs/>
        </w:rPr>
        <w:t>Group Finance needs to notified of any non-completed transactions and will advise course of action</w:t>
      </w:r>
    </w:p>
    <w:p w14:paraId="3D9D4C09" w14:textId="77777777" w:rsidR="006B793B" w:rsidRPr="00D2314E" w:rsidRDefault="006B793B" w:rsidP="00CE274D">
      <w:pPr>
        <w:pStyle w:val="ListParagraph"/>
        <w:numPr>
          <w:ilvl w:val="3"/>
          <w:numId w:val="7"/>
        </w:numPr>
        <w:ind w:left="1985" w:hanging="425"/>
        <w:contextualSpacing w:val="0"/>
        <w:rPr>
          <w:bCs/>
        </w:rPr>
      </w:pPr>
      <w:r w:rsidRPr="00D2314E">
        <w:rPr>
          <w:bCs/>
        </w:rPr>
        <w:t>Under no circumstances can a non-approved transaction be booked onto other parts of the balance sheet</w:t>
      </w:r>
    </w:p>
    <w:p w14:paraId="567AD819" w14:textId="77777777" w:rsidR="006B793B" w:rsidRPr="00D2314E" w:rsidRDefault="006B793B" w:rsidP="00CE274D">
      <w:pPr>
        <w:pStyle w:val="ListParagraph"/>
        <w:numPr>
          <w:ilvl w:val="3"/>
          <w:numId w:val="7"/>
        </w:numPr>
        <w:ind w:left="1985" w:hanging="425"/>
        <w:contextualSpacing w:val="0"/>
        <w:rPr>
          <w:bCs/>
        </w:rPr>
      </w:pPr>
      <w:r w:rsidRPr="00D2314E">
        <w:rPr>
          <w:bCs/>
        </w:rPr>
        <w:t xml:space="preserve">We are participating in automatic netting going forward, as such it is critical we follow this process and deadlines. </w:t>
      </w:r>
    </w:p>
    <w:p w14:paraId="41C12753" w14:textId="77777777" w:rsidR="006B793B" w:rsidRPr="00D2314E" w:rsidRDefault="006B793B" w:rsidP="006B793B">
      <w:pPr>
        <w:rPr>
          <w:color w:val="1F497D"/>
        </w:rPr>
      </w:pPr>
    </w:p>
    <w:p w14:paraId="2A0E78BD" w14:textId="77777777" w:rsidR="006B793B" w:rsidRDefault="006B793B" w:rsidP="006B793B"/>
    <w:p w14:paraId="083ABF7C" w14:textId="77777777" w:rsidR="006B793B" w:rsidRPr="006B793B" w:rsidRDefault="006B793B" w:rsidP="006B793B"/>
    <w:p w14:paraId="50D09CD6" w14:textId="77777777" w:rsidR="00EF3DD9" w:rsidRPr="00EF3DD9" w:rsidRDefault="00EF3DD9" w:rsidP="00EF3DD9">
      <w:pPr>
        <w:pStyle w:val="Heading2"/>
      </w:pPr>
      <w:bookmarkStart w:id="9" w:name="_Toc345409250"/>
      <w:r>
        <w:t>5. Related Areas and Processes</w:t>
      </w:r>
      <w:bookmarkEnd w:id="9"/>
    </w:p>
    <w:p w14:paraId="6E1D9EB2" w14:textId="77777777" w:rsidR="00EF3DD9" w:rsidRPr="00EF3DD9" w:rsidRDefault="002F2065" w:rsidP="00EF3DD9">
      <w:pPr>
        <w:pStyle w:val="Heading2"/>
      </w:pPr>
      <w:bookmarkStart w:id="10" w:name="_Toc345409251"/>
      <w:r>
        <w:t xml:space="preserve">6. </w:t>
      </w:r>
      <w:r w:rsidR="00EF3DD9" w:rsidRPr="00EF3DD9">
        <w:t>Issue management process</w:t>
      </w:r>
      <w:bookmarkEnd w:id="10"/>
    </w:p>
    <w:p w14:paraId="015E1485" w14:textId="77777777" w:rsidR="00EF3DD9" w:rsidRDefault="00EF3DD9" w:rsidP="002F2065">
      <w:pPr>
        <w:spacing w:after="200" w:line="276" w:lineRule="auto"/>
        <w:rPr>
          <w:rFonts w:cs="Arial"/>
          <w:bCs/>
        </w:rPr>
      </w:pPr>
      <w:r w:rsidRPr="00EF3DD9">
        <w:rPr>
          <w:rFonts w:cs="Arial"/>
          <w:bCs/>
        </w:rPr>
        <w:t xml:space="preserve">If application of this policy leads to an issue within the business it should first be raised to the </w:t>
      </w:r>
      <w:r w:rsidR="00944F7E">
        <w:rPr>
          <w:rFonts w:cs="Arial"/>
          <w:bCs/>
        </w:rPr>
        <w:t xml:space="preserve">Group Controller. </w:t>
      </w:r>
    </w:p>
    <w:p w14:paraId="1145DD8E" w14:textId="77777777" w:rsidR="00EF3DD9" w:rsidRDefault="00EF3DD9">
      <w:pPr>
        <w:spacing w:after="200" w:line="276" w:lineRule="auto"/>
        <w:rPr>
          <w:rFonts w:cs="Arial"/>
          <w:bCs/>
        </w:rPr>
      </w:pPr>
      <w:r>
        <w:rPr>
          <w:rFonts w:cs="Arial"/>
          <w:bCs/>
        </w:rPr>
        <w:br w:type="page"/>
      </w:r>
    </w:p>
    <w:p w14:paraId="40513CA5" w14:textId="77777777" w:rsidR="00EF3DD9" w:rsidRDefault="00EF3DD9" w:rsidP="00EF3DD9">
      <w:pPr>
        <w:pStyle w:val="Heading1"/>
      </w:pPr>
      <w:bookmarkStart w:id="11" w:name="_Toc345409252"/>
      <w:r>
        <w:lastRenderedPageBreak/>
        <w:t>Appendix</w:t>
      </w:r>
      <w:bookmarkEnd w:id="11"/>
    </w:p>
    <w:p w14:paraId="079063CB" w14:textId="77777777" w:rsidR="00562548" w:rsidRDefault="00EF3DD9" w:rsidP="00EF3DD9">
      <w:pPr>
        <w:rPr>
          <w:rFonts w:cs="Arial"/>
          <w:bCs/>
        </w:rPr>
      </w:pPr>
      <w:r>
        <w:rPr>
          <w:rFonts w:cs="Arial"/>
          <w:bCs/>
        </w:rPr>
        <w:t>Additional reference information for the Policy</w:t>
      </w:r>
    </w:p>
    <w:p w14:paraId="49511672" w14:textId="77777777" w:rsidR="00FD2C14" w:rsidRDefault="00FD2C14" w:rsidP="00EF3DD9">
      <w:pPr>
        <w:rPr>
          <w:rFonts w:cs="Arial"/>
          <w:bCs/>
        </w:rPr>
      </w:pPr>
    </w:p>
    <w:p w14:paraId="46D6F9FE" w14:textId="77777777" w:rsidR="00FD2C14" w:rsidRDefault="00FD2C14" w:rsidP="00EF3DD9">
      <w:pPr>
        <w:rPr>
          <w:rFonts w:cs="Arial"/>
          <w:bCs/>
        </w:rPr>
      </w:pPr>
    </w:p>
    <w:p w14:paraId="4041524D" w14:textId="77777777" w:rsidR="00FD2C14" w:rsidRDefault="00FD2C14" w:rsidP="00EF3DD9">
      <w:pPr>
        <w:rPr>
          <w:rFonts w:cs="Arial"/>
          <w:bCs/>
        </w:rPr>
      </w:pPr>
    </w:p>
    <w:p w14:paraId="24FF2353" w14:textId="77777777" w:rsidR="00FD2C14" w:rsidRDefault="00FD2C14" w:rsidP="00FD2C14"/>
    <w:p w14:paraId="6AFAE856" w14:textId="77777777" w:rsidR="00FD2C14" w:rsidRPr="00562548" w:rsidRDefault="00FD2C14" w:rsidP="00EF3DD9">
      <w:pPr>
        <w:rPr>
          <w:rFonts w:cs="Arial"/>
          <w:bCs/>
        </w:rPr>
      </w:pPr>
    </w:p>
    <w:sectPr w:rsidR="00FD2C14" w:rsidRPr="00562548" w:rsidSect="00622AD9">
      <w:headerReference w:type="default" r:id="rId12"/>
      <w:footerReference w:type="default" r:id="rId13"/>
      <w:pgSz w:w="11906" w:h="16838"/>
      <w:pgMar w:top="1528"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8B375" w14:textId="77777777" w:rsidR="00834854" w:rsidRDefault="00834854" w:rsidP="00622AD9">
      <w:r>
        <w:separator/>
      </w:r>
    </w:p>
  </w:endnote>
  <w:endnote w:type="continuationSeparator" w:id="0">
    <w:p w14:paraId="52999614" w14:textId="77777777" w:rsidR="00834854" w:rsidRDefault="00834854" w:rsidP="0062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ABC23" w14:textId="77777777" w:rsidR="00436023" w:rsidRPr="00EF3DD9" w:rsidRDefault="00436023" w:rsidP="00622AD9">
    <w:pPr>
      <w:pStyle w:val="Footer"/>
      <w:pBdr>
        <w:top w:val="single" w:sz="4" w:space="1" w:color="auto"/>
      </w:pBdr>
      <w:rPr>
        <w:sz w:val="16"/>
        <w:szCs w:val="16"/>
      </w:rPr>
    </w:pPr>
    <w:r w:rsidRPr="00EF3DD9">
      <w:rPr>
        <w:sz w:val="16"/>
        <w:szCs w:val="16"/>
      </w:rPr>
      <w:t>Author Name</w:t>
    </w:r>
    <w:r w:rsidRPr="00EF3DD9">
      <w:rPr>
        <w:sz w:val="16"/>
        <w:szCs w:val="16"/>
      </w:rPr>
      <w:tab/>
      <w:t>Functional Area / Department</w:t>
    </w:r>
    <w:r w:rsidRPr="00EF3DD9">
      <w:rPr>
        <w:sz w:val="16"/>
        <w:szCs w:val="16"/>
      </w:rPr>
      <w:tab/>
    </w:r>
    <w:sdt>
      <w:sdtPr>
        <w:rPr>
          <w:sz w:val="16"/>
          <w:szCs w:val="16"/>
        </w:rPr>
        <w:id w:val="34314722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EF3DD9">
              <w:rPr>
                <w:sz w:val="16"/>
                <w:szCs w:val="16"/>
              </w:rPr>
              <w:t xml:space="preserve">Page </w:t>
            </w:r>
            <w:r w:rsidRPr="00EF3DD9">
              <w:rPr>
                <w:b/>
                <w:bCs/>
                <w:sz w:val="16"/>
                <w:szCs w:val="16"/>
              </w:rPr>
              <w:fldChar w:fldCharType="begin"/>
            </w:r>
            <w:r w:rsidRPr="00EF3DD9">
              <w:rPr>
                <w:b/>
                <w:bCs/>
                <w:sz w:val="16"/>
                <w:szCs w:val="16"/>
              </w:rPr>
              <w:instrText xml:space="preserve"> PAGE </w:instrText>
            </w:r>
            <w:r w:rsidRPr="00EF3DD9">
              <w:rPr>
                <w:b/>
                <w:bCs/>
                <w:sz w:val="16"/>
                <w:szCs w:val="16"/>
              </w:rPr>
              <w:fldChar w:fldCharType="separate"/>
            </w:r>
            <w:r w:rsidR="001E7159">
              <w:rPr>
                <w:b/>
                <w:bCs/>
                <w:noProof/>
                <w:sz w:val="16"/>
                <w:szCs w:val="16"/>
              </w:rPr>
              <w:t>1</w:t>
            </w:r>
            <w:r w:rsidRPr="00EF3DD9">
              <w:rPr>
                <w:b/>
                <w:bCs/>
                <w:sz w:val="16"/>
                <w:szCs w:val="16"/>
              </w:rPr>
              <w:fldChar w:fldCharType="end"/>
            </w:r>
            <w:r w:rsidRPr="00EF3DD9">
              <w:rPr>
                <w:sz w:val="16"/>
                <w:szCs w:val="16"/>
              </w:rPr>
              <w:t xml:space="preserve"> of </w:t>
            </w:r>
            <w:r w:rsidRPr="00EF3DD9">
              <w:rPr>
                <w:b/>
                <w:bCs/>
                <w:sz w:val="16"/>
                <w:szCs w:val="16"/>
              </w:rPr>
              <w:fldChar w:fldCharType="begin"/>
            </w:r>
            <w:r w:rsidRPr="00EF3DD9">
              <w:rPr>
                <w:b/>
                <w:bCs/>
                <w:sz w:val="16"/>
                <w:szCs w:val="16"/>
              </w:rPr>
              <w:instrText xml:space="preserve"> NUMPAGES  </w:instrText>
            </w:r>
            <w:r w:rsidRPr="00EF3DD9">
              <w:rPr>
                <w:b/>
                <w:bCs/>
                <w:sz w:val="16"/>
                <w:szCs w:val="16"/>
              </w:rPr>
              <w:fldChar w:fldCharType="separate"/>
            </w:r>
            <w:r w:rsidR="001E7159">
              <w:rPr>
                <w:b/>
                <w:bCs/>
                <w:noProof/>
                <w:sz w:val="16"/>
                <w:szCs w:val="16"/>
              </w:rPr>
              <w:t>6</w:t>
            </w:r>
            <w:r w:rsidRPr="00EF3DD9">
              <w:rPr>
                <w:b/>
                <w:bCs/>
                <w:sz w:val="16"/>
                <w:szCs w:val="16"/>
              </w:rPr>
              <w:fldChar w:fldCharType="end"/>
            </w:r>
          </w:sdtContent>
        </w:sdt>
      </w:sdtContent>
    </w:sdt>
  </w:p>
  <w:p w14:paraId="54107C9B" w14:textId="77777777" w:rsidR="00436023" w:rsidRPr="00EF3DD9" w:rsidRDefault="00436023" w:rsidP="00622AD9">
    <w:pPr>
      <w:pStyle w:val="Footer"/>
      <w:pBdr>
        <w:top w:val="single" w:sz="4" w:space="1" w:color="auto"/>
      </w:pBdr>
      <w:rPr>
        <w:sz w:val="16"/>
        <w:szCs w:val="16"/>
      </w:rPr>
    </w:pPr>
    <w:r w:rsidRPr="00EF3DD9">
      <w:rPr>
        <w:sz w:val="16"/>
        <w:szCs w:val="16"/>
      </w:rPr>
      <w:fldChar w:fldCharType="begin"/>
    </w:r>
    <w:r w:rsidRPr="00EF3DD9">
      <w:rPr>
        <w:sz w:val="16"/>
        <w:szCs w:val="16"/>
      </w:rPr>
      <w:instrText xml:space="preserve"> FILENAME  \* Lower \p  \* MERGEFORMAT </w:instrText>
    </w:r>
    <w:r w:rsidRPr="00EF3DD9">
      <w:rPr>
        <w:sz w:val="16"/>
        <w:szCs w:val="16"/>
      </w:rPr>
      <w:fldChar w:fldCharType="separate"/>
    </w:r>
    <w:r w:rsidRPr="00EF3DD9">
      <w:rPr>
        <w:noProof/>
        <w:sz w:val="16"/>
        <w:szCs w:val="16"/>
      </w:rPr>
      <w:t>http://one.colart.com/pmo/projectone/shared documents/colart policy template.docx</w:t>
    </w:r>
    <w:r w:rsidRPr="00EF3DD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923BF" w14:textId="77777777" w:rsidR="00834854" w:rsidRDefault="00834854" w:rsidP="00622AD9">
      <w:r>
        <w:separator/>
      </w:r>
    </w:p>
  </w:footnote>
  <w:footnote w:type="continuationSeparator" w:id="0">
    <w:p w14:paraId="032D1D46" w14:textId="77777777" w:rsidR="00834854" w:rsidRDefault="00834854" w:rsidP="00622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7C45A" w14:textId="77777777" w:rsidR="00436023" w:rsidRPr="00562548" w:rsidRDefault="00436023" w:rsidP="0062729E">
    <w:r>
      <w:rPr>
        <w:noProof/>
        <w:lang w:eastAsia="zh-CN"/>
      </w:rPr>
      <w:drawing>
        <wp:inline distT="0" distB="0" distL="0" distR="0" wp14:anchorId="31966D0F" wp14:editId="72E2B223">
          <wp:extent cx="1742533"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711" cy="509512"/>
                  </a:xfrm>
                  <a:prstGeom prst="rect">
                    <a:avLst/>
                  </a:prstGeom>
                  <a:noFill/>
                  <a:ln>
                    <a:noFill/>
                  </a:ln>
                </pic:spPr>
              </pic:pic>
            </a:graphicData>
          </a:graphic>
        </wp:inline>
      </w:drawing>
    </w:r>
    <w:r>
      <w:tab/>
    </w:r>
    <w:r>
      <w:tab/>
    </w:r>
    <w:r>
      <w:rPr>
        <w:sz w:val="16"/>
        <w:szCs w:val="16"/>
      </w:rPr>
      <w:t>Finance: Acc</w:t>
    </w:r>
    <w:r w:rsidRPr="0062729E">
      <w:rPr>
        <w:sz w:val="16"/>
        <w:szCs w:val="16"/>
      </w:rPr>
      <w:t>ounts Receivable and Credit</w:t>
    </w:r>
    <w:r>
      <w:rPr>
        <w:sz w:val="16"/>
        <w:szCs w:val="16"/>
      </w:rPr>
      <w:t xml:space="preserve"> administration policy</w:t>
    </w:r>
    <w:r>
      <w:t xml:space="preserve"> </w:t>
    </w:r>
  </w:p>
  <w:p w14:paraId="02247DBA" w14:textId="77777777" w:rsidR="00436023" w:rsidRPr="00622AD9" w:rsidRDefault="00436023" w:rsidP="00622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89D"/>
    <w:multiLevelType w:val="hybridMultilevel"/>
    <w:tmpl w:val="22240E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FF5097"/>
    <w:multiLevelType w:val="hybridMultilevel"/>
    <w:tmpl w:val="08F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183082"/>
    <w:multiLevelType w:val="hybridMultilevel"/>
    <w:tmpl w:val="5EC4FEC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771"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4BF66653"/>
    <w:multiLevelType w:val="hybridMultilevel"/>
    <w:tmpl w:val="8A1A6D20"/>
    <w:lvl w:ilvl="0" w:tplc="0254B83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2592D1D"/>
    <w:multiLevelType w:val="hybridMultilevel"/>
    <w:tmpl w:val="4AFAD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754783"/>
    <w:multiLevelType w:val="hybridMultilevel"/>
    <w:tmpl w:val="5A609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7D19C4"/>
    <w:multiLevelType w:val="hybridMultilevel"/>
    <w:tmpl w:val="2D905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11EE8"/>
    <w:multiLevelType w:val="multilevel"/>
    <w:tmpl w:val="C19E5948"/>
    <w:lvl w:ilvl="0">
      <w:start w:val="4"/>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EFD2C5C"/>
    <w:multiLevelType w:val="hybridMultilevel"/>
    <w:tmpl w:val="13F4F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27F3837"/>
    <w:multiLevelType w:val="hybridMultilevel"/>
    <w:tmpl w:val="37BA43C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5"/>
  </w:num>
  <w:num w:numId="2">
    <w:abstractNumId w:val="1"/>
  </w:num>
  <w:num w:numId="3">
    <w:abstractNumId w:val="8"/>
  </w:num>
  <w:num w:numId="4">
    <w:abstractNumId w:val="0"/>
  </w:num>
  <w:num w:numId="5">
    <w:abstractNumId w:val="3"/>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48"/>
    <w:rsid w:val="00020448"/>
    <w:rsid w:val="001106DF"/>
    <w:rsid w:val="001276FF"/>
    <w:rsid w:val="001A4743"/>
    <w:rsid w:val="001E7159"/>
    <w:rsid w:val="002C1A66"/>
    <w:rsid w:val="002F2065"/>
    <w:rsid w:val="003910FF"/>
    <w:rsid w:val="00436023"/>
    <w:rsid w:val="004E631F"/>
    <w:rsid w:val="005310BB"/>
    <w:rsid w:val="00562548"/>
    <w:rsid w:val="00587CE8"/>
    <w:rsid w:val="00622AD9"/>
    <w:rsid w:val="0062729E"/>
    <w:rsid w:val="006B793B"/>
    <w:rsid w:val="00743F81"/>
    <w:rsid w:val="00834854"/>
    <w:rsid w:val="008F7863"/>
    <w:rsid w:val="00944F7E"/>
    <w:rsid w:val="009A18D4"/>
    <w:rsid w:val="00A343EA"/>
    <w:rsid w:val="00A6630C"/>
    <w:rsid w:val="00A860CF"/>
    <w:rsid w:val="00AA4A8C"/>
    <w:rsid w:val="00AF6B00"/>
    <w:rsid w:val="00BB5DB7"/>
    <w:rsid w:val="00BD161E"/>
    <w:rsid w:val="00C4058D"/>
    <w:rsid w:val="00CA748F"/>
    <w:rsid w:val="00CE274D"/>
    <w:rsid w:val="00D2314E"/>
    <w:rsid w:val="00DC213E"/>
    <w:rsid w:val="00DE269B"/>
    <w:rsid w:val="00EA157A"/>
    <w:rsid w:val="00EF3DD9"/>
    <w:rsid w:val="00FD2C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1C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EF3DD9"/>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EF3DD9"/>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EF3DD9"/>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EF3DD9"/>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Finance</ColArt_Document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D2F57E19863F41B6F15DCE99E6EFAE" ma:contentTypeVersion="5" ma:contentTypeDescription="Create a new document." ma:contentTypeScope="" ma:versionID="992ec7d45a9232398b05720b17de603d">
  <xsd:schema xmlns:xsd="http://www.w3.org/2001/XMLSchema" xmlns:xs="http://www.w3.org/2001/XMLSchema" xmlns:p="http://schemas.microsoft.com/office/2006/metadata/properties" xmlns:ns1="http://schemas.microsoft.com/sharepoint/v3" xmlns:ns2="61780b56-53a0-48b7-94b7-99dcf39097de" xmlns:ns3="393d91d8-80ae-4929-a4bf-431b61af0dba" targetNamespace="http://schemas.microsoft.com/office/2006/metadata/properties" ma:root="true" ma:fieldsID="304155f4104bc012981d4dab99fecc66" ns1:_="" ns2:_="" ns3:_="">
    <xsd:import namespace="http://schemas.microsoft.com/sharepoint/v3"/>
    <xsd:import namespace="61780b56-53a0-48b7-94b7-99dcf39097de"/>
    <xsd:import namespace="393d91d8-80ae-4929-a4bf-431b61af0dba"/>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mmercial"/>
          <xsd:enumeration value="Finance"/>
          <xsd:enumeration value="Governance"/>
          <xsd:enumeration value="IT"/>
          <xsd:enumeration value="OFO"/>
          <xsd:enumeration value="Operations"/>
          <xsd:enumeration value="People"/>
          <xsd:enumeration value="Regulatory"/>
          <xsd:enumeration value="SIOP"/>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d91d8-80ae-4929-a4bf-431b61af0d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92A48-00E2-460D-9966-389180DDD987}"/>
</file>

<file path=customXml/itemProps2.xml><?xml version="1.0" encoding="utf-8"?>
<ds:datastoreItem xmlns:ds="http://schemas.openxmlformats.org/officeDocument/2006/customXml" ds:itemID="{15074DE1-25ED-47DD-803A-277816800C92}"/>
</file>

<file path=customXml/itemProps3.xml><?xml version="1.0" encoding="utf-8"?>
<ds:datastoreItem xmlns:ds="http://schemas.openxmlformats.org/officeDocument/2006/customXml" ds:itemID="{625ED012-C79C-4C78-B839-EF6F757EAF1D}"/>
</file>

<file path=customXml/itemProps4.xml><?xml version="1.0" encoding="utf-8"?>
<ds:datastoreItem xmlns:ds="http://schemas.openxmlformats.org/officeDocument/2006/customXml" ds:itemID="{1B3C83F2-AAF5-4DFD-A1EA-C7C25E09BA87}"/>
</file>

<file path=docProps/app.xml><?xml version="1.0" encoding="utf-8"?>
<Properties xmlns="http://schemas.openxmlformats.org/officeDocument/2006/extended-properties" xmlns:vt="http://schemas.openxmlformats.org/officeDocument/2006/docPropsVTypes">
  <Template>Normal</Template>
  <TotalTime>79</TotalTime>
  <Pages>6</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ColArt</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Clark</dc:creator>
  <cp:lastModifiedBy>Jing Huang</cp:lastModifiedBy>
  <cp:revision>7</cp:revision>
  <dcterms:created xsi:type="dcterms:W3CDTF">2013-12-03T17:08:00Z</dcterms:created>
  <dcterms:modified xsi:type="dcterms:W3CDTF">2015-03-10T14:33:00Z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0x010100D7D2F57E19863F41B6F15DCE99E6EFAE</vt:lpwstr>
  </property>
  <property fmtid="{D5CDD505-2E9C-101B-9397-08002B2CF9AE}" pid="3" name="Order">
    <vt:r8>3600</vt:r8>
  </property>
</Properties>
</file>