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D8141" w14:textId="132FB462" w:rsidR="00B43708" w:rsidRDefault="00B43708" w:rsidP="00B43708">
      <w:pPr>
        <w:rPr>
          <w:b/>
          <w:bCs/>
          <w:sz w:val="36"/>
          <w:szCs w:val="36"/>
        </w:rPr>
      </w:pPr>
      <w:r w:rsidRPr="00B43708">
        <w:rPr>
          <w:b/>
          <w:bCs/>
          <w:sz w:val="36"/>
          <w:szCs w:val="36"/>
        </w:rPr>
        <w:t>T</w:t>
      </w:r>
      <w:r w:rsidRPr="00B43708">
        <w:rPr>
          <w:b/>
          <w:bCs/>
          <w:sz w:val="36"/>
          <w:szCs w:val="36"/>
        </w:rPr>
        <w:t>ownhall Digest: Key Highlights and Takeaways</w:t>
      </w:r>
    </w:p>
    <w:p w14:paraId="5626FF0F" w14:textId="63DE2D33" w:rsidR="003A7AE6" w:rsidRPr="00B43708" w:rsidRDefault="003A7AE6" w:rsidP="00B43708">
      <w:pPr>
        <w:rPr>
          <w:color w:val="E97132" w:themeColor="accent2"/>
          <w:sz w:val="28"/>
          <w:szCs w:val="28"/>
        </w:rPr>
      </w:pPr>
      <w:r w:rsidRPr="003A7AE6">
        <w:rPr>
          <w:b/>
          <w:bCs/>
          <w:color w:val="E97132" w:themeColor="accent2"/>
          <w:sz w:val="28"/>
          <w:szCs w:val="28"/>
        </w:rPr>
        <w:t>Financial Update</w:t>
      </w:r>
      <w:r>
        <w:rPr>
          <w:b/>
          <w:bCs/>
          <w:color w:val="E97132" w:themeColor="accent2"/>
          <w:sz w:val="28"/>
          <w:szCs w:val="28"/>
        </w:rPr>
        <w:t xml:space="preserve"> – Led by Jonathan Spight, CFO</w:t>
      </w:r>
    </w:p>
    <w:p w14:paraId="399443F9" w14:textId="49D4788E" w:rsidR="00B43708" w:rsidRPr="00B43708" w:rsidRDefault="00B43708" w:rsidP="00B43708">
      <w:pPr>
        <w:rPr>
          <w:color w:val="156082" w:themeColor="accent1"/>
        </w:rPr>
      </w:pPr>
      <w:r w:rsidRPr="00B43708">
        <w:rPr>
          <w:b/>
          <w:bCs/>
          <w:color w:val="156082" w:themeColor="accent1"/>
        </w:rPr>
        <w:t>1. Overview of 2024 Performance</w:t>
      </w:r>
    </w:p>
    <w:p w14:paraId="08008B7D" w14:textId="77777777" w:rsidR="00B43708" w:rsidRPr="00B43708" w:rsidRDefault="00B43708" w:rsidP="00B43708">
      <w:pPr>
        <w:numPr>
          <w:ilvl w:val="0"/>
          <w:numId w:val="1"/>
        </w:numPr>
      </w:pPr>
      <w:r w:rsidRPr="00B43708">
        <w:rPr>
          <w:b/>
          <w:bCs/>
        </w:rPr>
        <w:t>Economic Challenges &amp; Sales Decline:</w:t>
      </w:r>
    </w:p>
    <w:p w14:paraId="17F400B2" w14:textId="342F2364" w:rsidR="00B43708" w:rsidRDefault="00B43708" w:rsidP="00B43708">
      <w:pPr>
        <w:numPr>
          <w:ilvl w:val="1"/>
          <w:numId w:val="1"/>
        </w:numPr>
      </w:pPr>
      <w:r w:rsidRPr="00B43708">
        <w:t xml:space="preserve">The company faced a tough sales year with a decline of </w:t>
      </w:r>
      <w:r>
        <w:t>1.9</w:t>
      </w:r>
      <w:r w:rsidRPr="00B43708">
        <w:t>% compared to 2023.</w:t>
      </w:r>
    </w:p>
    <w:p w14:paraId="03F64759" w14:textId="70163B38" w:rsidR="00B43708" w:rsidRDefault="00B43708" w:rsidP="003A7AE6">
      <w:pPr>
        <w:numPr>
          <w:ilvl w:val="2"/>
          <w:numId w:val="1"/>
        </w:numPr>
      </w:pPr>
      <w:r>
        <w:t xml:space="preserve">Sales </w:t>
      </w:r>
      <w:r>
        <w:t>were particularly impacted in international markets including Asia Pacific (Taiwan, India) and Latin America (</w:t>
      </w:r>
      <w:r w:rsidRPr="00EC4DBB">
        <w:t>Argentina).</w:t>
      </w:r>
      <w:r w:rsidR="003A7AE6">
        <w:t xml:space="preserve"> </w:t>
      </w:r>
      <w:r w:rsidRPr="00EC4DBB">
        <w:t xml:space="preserve">Brands like W&amp;N and </w:t>
      </w:r>
      <w:r w:rsidR="003A7AE6">
        <w:t>SNAZAROO</w:t>
      </w:r>
      <w:r w:rsidRPr="00EC4DBB">
        <w:t xml:space="preserve"> struggled</w:t>
      </w:r>
      <w:r>
        <w:t>.</w:t>
      </w:r>
    </w:p>
    <w:p w14:paraId="0FD4167C" w14:textId="6D438BDC" w:rsidR="00B43708" w:rsidRPr="00B43708" w:rsidRDefault="00B43708" w:rsidP="00B43708">
      <w:pPr>
        <w:numPr>
          <w:ilvl w:val="1"/>
          <w:numId w:val="1"/>
        </w:numPr>
      </w:pPr>
      <w:r w:rsidRPr="00B43708">
        <w:t>Sales in certain categories like acrylics and watercolo</w:t>
      </w:r>
      <w:r>
        <w:t>u</w:t>
      </w:r>
      <w:r w:rsidRPr="00B43708">
        <w:t xml:space="preserve">rs performed well, but others such as oils, mediums, and canvases </w:t>
      </w:r>
      <w:r>
        <w:t>showed</w:t>
      </w:r>
      <w:r w:rsidRPr="00B43708">
        <w:t xml:space="preserve"> </w:t>
      </w:r>
      <w:r>
        <w:t>decline.</w:t>
      </w:r>
    </w:p>
    <w:p w14:paraId="3C8640DE" w14:textId="77777777" w:rsidR="00B43708" w:rsidRPr="00B43708" w:rsidRDefault="00B43708" w:rsidP="00B43708">
      <w:pPr>
        <w:numPr>
          <w:ilvl w:val="1"/>
          <w:numId w:val="1"/>
        </w:numPr>
      </w:pPr>
      <w:r w:rsidRPr="00B43708">
        <w:t>Direct-to-Consumer (DTC) saw growth, doubling from £600,000 to £1.3 million.</w:t>
      </w:r>
    </w:p>
    <w:p w14:paraId="48C303A4" w14:textId="77777777" w:rsidR="00B43708" w:rsidRPr="00B43708" w:rsidRDefault="00B43708" w:rsidP="00B43708">
      <w:pPr>
        <w:numPr>
          <w:ilvl w:val="0"/>
          <w:numId w:val="1"/>
        </w:numPr>
      </w:pPr>
      <w:r w:rsidRPr="00B43708">
        <w:rPr>
          <w:b/>
          <w:bCs/>
        </w:rPr>
        <w:t>Margins and Costs:</w:t>
      </w:r>
    </w:p>
    <w:p w14:paraId="5EDFD9A9" w14:textId="77777777" w:rsidR="00D31A0D" w:rsidRDefault="00B43708" w:rsidP="00B43708">
      <w:pPr>
        <w:numPr>
          <w:ilvl w:val="1"/>
          <w:numId w:val="1"/>
        </w:numPr>
      </w:pPr>
      <w:r w:rsidRPr="00B43708">
        <w:t>Gross margin improved</w:t>
      </w:r>
      <w:r w:rsidR="00D31A0D">
        <w:t xml:space="preserve"> by 1.3%</w:t>
      </w:r>
      <w:r w:rsidRPr="00B43708">
        <w:t xml:space="preserve">, mostly through a </w:t>
      </w:r>
      <w:r w:rsidR="00D31A0D" w:rsidRPr="00B43708">
        <w:t>favourable</w:t>
      </w:r>
      <w:r w:rsidRPr="00B43708">
        <w:t xml:space="preserve"> product mix and restructuring efforts (e.g., in China).</w:t>
      </w:r>
      <w:r w:rsidR="00D31A0D">
        <w:t xml:space="preserve"> </w:t>
      </w:r>
    </w:p>
    <w:p w14:paraId="7C6F7DAC" w14:textId="6FBDC949" w:rsidR="00B43708" w:rsidRPr="00B43708" w:rsidRDefault="00D31A0D" w:rsidP="00D31A0D">
      <w:pPr>
        <w:numPr>
          <w:ilvl w:val="2"/>
          <w:numId w:val="1"/>
        </w:numPr>
      </w:pPr>
      <w:r>
        <w:t>With limited price increases, challenges remain with Freight cost ad volume, and factories still operating at low utilisation across all sites.</w:t>
      </w:r>
    </w:p>
    <w:p w14:paraId="5C351A2E" w14:textId="336F57EB" w:rsidR="00B43708" w:rsidRDefault="00D31A0D" w:rsidP="00B43708">
      <w:pPr>
        <w:numPr>
          <w:ilvl w:val="1"/>
          <w:numId w:val="1"/>
        </w:numPr>
      </w:pPr>
      <w:r>
        <w:t>There was a small increase in O</w:t>
      </w:r>
      <w:r w:rsidR="00B43708" w:rsidRPr="00B43708">
        <w:t xml:space="preserve">perating </w:t>
      </w:r>
      <w:r>
        <w:t>E</w:t>
      </w:r>
      <w:r w:rsidR="00B43708" w:rsidRPr="00B43708">
        <w:t>xpenses</w:t>
      </w:r>
      <w:r>
        <w:t xml:space="preserve"> (OPEX,</w:t>
      </w:r>
      <w:r w:rsidR="00B43708" w:rsidRPr="00B43708">
        <w:t xml:space="preserve"> </w:t>
      </w:r>
      <w:r>
        <w:t xml:space="preserve">up by £800,000) but was overall </w:t>
      </w:r>
      <w:r w:rsidR="00B43708" w:rsidRPr="00B43708">
        <w:t>tightly managed, with cost-conscious spending despite some increases in marketing.</w:t>
      </w:r>
    </w:p>
    <w:p w14:paraId="3E109EF5" w14:textId="1EAEF3A0" w:rsidR="00D31A0D" w:rsidRPr="00B43708" w:rsidRDefault="00D31A0D" w:rsidP="00D31A0D">
      <w:pPr>
        <w:numPr>
          <w:ilvl w:val="2"/>
          <w:numId w:val="1"/>
        </w:numPr>
      </w:pPr>
      <w:r w:rsidRPr="001271FB">
        <w:t>Reduction in incentive accrual as well as controlled discretionary spending to keep things balanced.</w:t>
      </w:r>
    </w:p>
    <w:p w14:paraId="794E081C" w14:textId="268B9DBB" w:rsidR="00D31A0D" w:rsidRDefault="00D31A0D" w:rsidP="00D31A0D">
      <w:pPr>
        <w:numPr>
          <w:ilvl w:val="1"/>
          <w:numId w:val="1"/>
        </w:numPr>
      </w:pPr>
      <w:r w:rsidRPr="00B43708">
        <w:t xml:space="preserve">EBIT (Earnings Before Interest and Taxes) </w:t>
      </w:r>
      <w:r>
        <w:t>was stable despite the lower sales at £4.7M</w:t>
      </w:r>
      <w:r w:rsidRPr="00B43708">
        <w:t>.</w:t>
      </w:r>
    </w:p>
    <w:p w14:paraId="19B7A4D1" w14:textId="4E2B2B2E" w:rsidR="00D31A0D" w:rsidRPr="00B43708" w:rsidRDefault="00D31A0D" w:rsidP="003A7AE6">
      <w:pPr>
        <w:numPr>
          <w:ilvl w:val="2"/>
          <w:numId w:val="1"/>
        </w:numPr>
      </w:pPr>
      <w:r>
        <w:t xml:space="preserve">There were </w:t>
      </w:r>
      <w:r w:rsidRPr="00EC4DBB">
        <w:t>notable improvements in Europe</w:t>
      </w:r>
      <w:r>
        <w:t xml:space="preserve"> where we turned a loss into profit</w:t>
      </w:r>
      <w:r w:rsidRPr="00EC4DBB">
        <w:t xml:space="preserve">. </w:t>
      </w:r>
      <w:r w:rsidR="003A7AE6">
        <w:t>But w</w:t>
      </w:r>
      <w:r w:rsidRPr="00EC4DBB">
        <w:t>e’re still operating at a loss after taxes and interest, which we need to address moving forward.</w:t>
      </w:r>
    </w:p>
    <w:p w14:paraId="7C3A49B9" w14:textId="77777777" w:rsidR="00B43708" w:rsidRDefault="00B43708" w:rsidP="00B43708">
      <w:pPr>
        <w:numPr>
          <w:ilvl w:val="1"/>
          <w:numId w:val="1"/>
        </w:numPr>
      </w:pPr>
      <w:r w:rsidRPr="00B43708">
        <w:t>A key concern was cash flow, which did not meet expectations, leading to increased debt for the company.</w:t>
      </w:r>
    </w:p>
    <w:p w14:paraId="54E8169D" w14:textId="5FC112BB" w:rsidR="003A7AE6" w:rsidRDefault="003A7AE6" w:rsidP="003A7AE6">
      <w:r w:rsidRPr="00B43708">
        <w:pict w14:anchorId="5F5BCC7F">
          <v:rect id="_x0000_i1049" style="width:0;height:1.5pt" o:hralign="center" o:hrstd="t" o:hr="t" fillcolor="#a0a0a0" stroked="f"/>
        </w:pict>
      </w:r>
    </w:p>
    <w:p w14:paraId="6369010D" w14:textId="79854B18" w:rsidR="00B43708" w:rsidRPr="00B43708" w:rsidRDefault="00B43708" w:rsidP="00B43708">
      <w:pPr>
        <w:pStyle w:val="ListParagraph"/>
        <w:numPr>
          <w:ilvl w:val="0"/>
          <w:numId w:val="5"/>
        </w:numPr>
        <w:rPr>
          <w:b/>
          <w:bCs/>
          <w:color w:val="156082" w:themeColor="accent1"/>
        </w:rPr>
      </w:pPr>
      <w:r w:rsidRPr="00B43708">
        <w:rPr>
          <w:b/>
          <w:bCs/>
          <w:color w:val="156082" w:themeColor="accent1"/>
        </w:rPr>
        <w:t>2025 Financial Strategy</w:t>
      </w:r>
    </w:p>
    <w:p w14:paraId="632B3770" w14:textId="77777777" w:rsidR="00B43708" w:rsidRPr="00B43708" w:rsidRDefault="00B43708" w:rsidP="00B43708">
      <w:pPr>
        <w:numPr>
          <w:ilvl w:val="0"/>
          <w:numId w:val="1"/>
        </w:numPr>
      </w:pPr>
      <w:r w:rsidRPr="00B43708">
        <w:rPr>
          <w:b/>
          <w:bCs/>
        </w:rPr>
        <w:t>Strategic Vision for 2025:</w:t>
      </w:r>
    </w:p>
    <w:p w14:paraId="0BFABFFF" w14:textId="6BB29FD0" w:rsidR="00B43708" w:rsidRDefault="00B43708" w:rsidP="00B43708">
      <w:pPr>
        <w:numPr>
          <w:ilvl w:val="1"/>
          <w:numId w:val="1"/>
        </w:numPr>
      </w:pPr>
      <w:r w:rsidRPr="00B43708">
        <w:rPr>
          <w:b/>
          <w:bCs/>
        </w:rPr>
        <w:lastRenderedPageBreak/>
        <w:t>Stabili</w:t>
      </w:r>
      <w:r>
        <w:rPr>
          <w:b/>
          <w:bCs/>
        </w:rPr>
        <w:t>s</w:t>
      </w:r>
      <w:r w:rsidRPr="00B43708">
        <w:rPr>
          <w:b/>
          <w:bCs/>
        </w:rPr>
        <w:t>ation Year:</w:t>
      </w:r>
      <w:r w:rsidRPr="00B43708">
        <w:t xml:space="preserve"> The company has declared 2025 as a year of stabili</w:t>
      </w:r>
      <w:r w:rsidR="00D31A0D">
        <w:t>s</w:t>
      </w:r>
      <w:r w:rsidRPr="00B43708">
        <w:t>ing operations and preparing for future growth</w:t>
      </w:r>
      <w:r w:rsidR="00D31A0D">
        <w:t>, balancing:</w:t>
      </w:r>
    </w:p>
    <w:p w14:paraId="1CD9107D" w14:textId="77777777" w:rsidR="00D31A0D" w:rsidRPr="00026BB0" w:rsidRDefault="00D31A0D" w:rsidP="00D31A0D">
      <w:pPr>
        <w:pStyle w:val="ListParagraph"/>
        <w:numPr>
          <w:ilvl w:val="2"/>
          <w:numId w:val="1"/>
        </w:numPr>
        <w:spacing w:line="259" w:lineRule="auto"/>
      </w:pPr>
      <w:r w:rsidRPr="00026BB0">
        <w:t>Investments in key areas like Direct-to-Consumer (DTC) (</w:t>
      </w:r>
      <w:r>
        <w:t>still</w:t>
      </w:r>
      <w:r w:rsidRPr="00026BB0">
        <w:t xml:space="preserve"> a loss-leader) and increased A&amp;P spend.</w:t>
      </w:r>
    </w:p>
    <w:p w14:paraId="4E5A57C3" w14:textId="77777777" w:rsidR="00D31A0D" w:rsidRPr="00026BB0" w:rsidRDefault="00D31A0D" w:rsidP="00D31A0D">
      <w:pPr>
        <w:pStyle w:val="ListParagraph"/>
        <w:numPr>
          <w:ilvl w:val="2"/>
          <w:numId w:val="1"/>
        </w:numPr>
        <w:spacing w:line="259" w:lineRule="auto"/>
      </w:pPr>
      <w:r w:rsidRPr="00026BB0">
        <w:t>Realistic sales expectations to avoid overstretching.</w:t>
      </w:r>
    </w:p>
    <w:p w14:paraId="79B7D7A7" w14:textId="6691C34A" w:rsidR="00D31A0D" w:rsidRPr="00B43708" w:rsidRDefault="00D31A0D" w:rsidP="00D31A0D">
      <w:pPr>
        <w:pStyle w:val="ListParagraph"/>
        <w:numPr>
          <w:ilvl w:val="2"/>
          <w:numId w:val="1"/>
        </w:numPr>
        <w:spacing w:line="259" w:lineRule="auto"/>
      </w:pPr>
      <w:r w:rsidRPr="00026BB0">
        <w:t>A reduced EBIT, meaning the company will remain loss-making after tax (-£1.0m).</w:t>
      </w:r>
    </w:p>
    <w:p w14:paraId="3E98DFF1" w14:textId="1ECC01D4" w:rsidR="00D31A0D" w:rsidRDefault="00B43708" w:rsidP="00D31A0D">
      <w:pPr>
        <w:numPr>
          <w:ilvl w:val="1"/>
          <w:numId w:val="1"/>
        </w:numPr>
      </w:pPr>
      <w:r w:rsidRPr="00B43708">
        <w:t xml:space="preserve">The budget includes modest </w:t>
      </w:r>
      <w:r w:rsidR="00D31A0D">
        <w:t xml:space="preserve">net </w:t>
      </w:r>
      <w:r w:rsidRPr="00B43708">
        <w:t>sales growth of 3.5%</w:t>
      </w:r>
      <w:r w:rsidR="00D31A0D">
        <w:t>; o</w:t>
      </w:r>
      <w:r w:rsidR="00D31A0D" w:rsidRPr="00EC4DBB">
        <w:t xml:space="preserve">ur main brands (like W&amp;N, Liquitex, and </w:t>
      </w:r>
      <w:r w:rsidR="003A7AE6">
        <w:t>SNAZAROO</w:t>
      </w:r>
      <w:r w:rsidR="00D31A0D" w:rsidRPr="00EC4DBB">
        <w:t xml:space="preserve">) are expected to see growth, and our Direct-to-Consumer sales should grow </w:t>
      </w:r>
      <w:r w:rsidR="00D31A0D">
        <w:t>to</w:t>
      </w:r>
      <w:r w:rsidR="00D31A0D" w:rsidRPr="00EC4DBB">
        <w:t xml:space="preserve"> £</w:t>
      </w:r>
      <w:r w:rsidR="00D31A0D">
        <w:t>1.9</w:t>
      </w:r>
      <w:r w:rsidR="00D31A0D" w:rsidRPr="00EC4DBB">
        <w:t xml:space="preserve"> million.</w:t>
      </w:r>
    </w:p>
    <w:p w14:paraId="4C1962F9" w14:textId="4322DE0F" w:rsidR="00D31A0D" w:rsidRPr="00B43708" w:rsidRDefault="00D31A0D" w:rsidP="00D31A0D">
      <w:pPr>
        <w:numPr>
          <w:ilvl w:val="1"/>
          <w:numId w:val="1"/>
        </w:numPr>
        <w:spacing w:line="259" w:lineRule="auto"/>
      </w:pPr>
      <w:r w:rsidRPr="00EC4DBB">
        <w:t xml:space="preserve">We plan to manage costs carefully and make small price adjustments, so we expect a small increase in </w:t>
      </w:r>
      <w:r>
        <w:t>gross margin</w:t>
      </w:r>
      <w:r w:rsidRPr="00EC4DBB">
        <w:t>. We’ll also stay vigilant about potential tariff changes</w:t>
      </w:r>
      <w:r>
        <w:t xml:space="preserve"> in the US</w:t>
      </w:r>
      <w:r w:rsidRPr="00EC4DBB">
        <w:t xml:space="preserve"> and wage </w:t>
      </w:r>
      <w:r>
        <w:t>impacts in the UK</w:t>
      </w:r>
      <w:r w:rsidRPr="00EC4DBB">
        <w:t xml:space="preserve"> that could </w:t>
      </w:r>
      <w:r>
        <w:t>affect</w:t>
      </w:r>
      <w:r w:rsidRPr="00EC4DBB">
        <w:t xml:space="preserve"> our costs.</w:t>
      </w:r>
    </w:p>
    <w:p w14:paraId="15262C94" w14:textId="5BF3B431" w:rsidR="00B43708" w:rsidRDefault="00D31A0D" w:rsidP="00B43708">
      <w:pPr>
        <w:numPr>
          <w:ilvl w:val="1"/>
          <w:numId w:val="1"/>
        </w:numPr>
      </w:pPr>
      <w:r>
        <w:t>OPEX is up by £3.8m – increased but strategically controlled spending</w:t>
      </w:r>
      <w:r w:rsidR="00B43708" w:rsidRPr="00B43708">
        <w:t>.</w:t>
      </w:r>
    </w:p>
    <w:p w14:paraId="56AAB2BF" w14:textId="30E9D5CE" w:rsidR="00D31A0D" w:rsidRDefault="00D31A0D" w:rsidP="00D31A0D">
      <w:pPr>
        <w:numPr>
          <w:ilvl w:val="2"/>
          <w:numId w:val="1"/>
        </w:numPr>
        <w:spacing w:line="259" w:lineRule="auto"/>
      </w:pPr>
      <w:r w:rsidRPr="00EC4DBB">
        <w:t xml:space="preserve">We’ll be increasing our marketing spend and staff costs, </w:t>
      </w:r>
      <w:r>
        <w:t xml:space="preserve">and we’re making some strategic investments. But </w:t>
      </w:r>
      <w:r w:rsidRPr="00EC4DBB">
        <w:t xml:space="preserve">we’re also focusing on </w:t>
      </w:r>
      <w:r>
        <w:t>controlling costs, particularly people costs</w:t>
      </w:r>
      <w:r w:rsidRPr="00EC4DBB">
        <w:t>.</w:t>
      </w:r>
    </w:p>
    <w:p w14:paraId="4931C18E" w14:textId="77777777" w:rsidR="003A7AE6" w:rsidRPr="00EC4DBB" w:rsidRDefault="003A7AE6" w:rsidP="003A7AE6">
      <w:pPr>
        <w:numPr>
          <w:ilvl w:val="1"/>
          <w:numId w:val="1"/>
        </w:numPr>
        <w:spacing w:line="259" w:lineRule="auto"/>
      </w:pPr>
      <w:r w:rsidRPr="003A7AE6">
        <w:t>EBIT</w:t>
      </w:r>
      <w:r w:rsidRPr="00EC4DBB">
        <w:rPr>
          <w:b/>
          <w:bCs/>
        </w:rPr>
        <w:t>:</w:t>
      </w:r>
      <w:r w:rsidRPr="00EC4DBB">
        <w:t xml:space="preserve"> £3.7m – </w:t>
      </w:r>
      <w:r w:rsidRPr="00EC4DBB">
        <w:rPr>
          <w:i/>
          <w:iCs/>
        </w:rPr>
        <w:t>A smaller profit expected, but still stable</w:t>
      </w:r>
    </w:p>
    <w:p w14:paraId="14DB4506" w14:textId="77777777" w:rsidR="003A7AE6" w:rsidRPr="00EC4DBB" w:rsidRDefault="003A7AE6" w:rsidP="003A7AE6">
      <w:pPr>
        <w:numPr>
          <w:ilvl w:val="2"/>
          <w:numId w:val="1"/>
        </w:numPr>
        <w:spacing w:line="259" w:lineRule="auto"/>
      </w:pPr>
      <w:r w:rsidRPr="00EC4DBB">
        <w:t>We’re aiming for stability in 2025, with a smaller profit compared to 2024. The focus will be on laying the groundwork for future growth while managing costs carefully.</w:t>
      </w:r>
    </w:p>
    <w:p w14:paraId="3AF3A1E4" w14:textId="77777777" w:rsidR="003A7AE6" w:rsidRPr="00EC4DBB" w:rsidRDefault="003A7AE6" w:rsidP="003A7AE6">
      <w:pPr>
        <w:numPr>
          <w:ilvl w:val="1"/>
          <w:numId w:val="1"/>
        </w:numPr>
        <w:spacing w:line="259" w:lineRule="auto"/>
      </w:pPr>
      <w:r w:rsidRPr="003A7AE6">
        <w:t>Cash Flow</w:t>
      </w:r>
      <w:r w:rsidRPr="00EC4DBB">
        <w:rPr>
          <w:b/>
          <w:bCs/>
        </w:rPr>
        <w:t>:</w:t>
      </w:r>
      <w:r w:rsidRPr="00EC4DBB">
        <w:t xml:space="preserve"> £6.6m – </w:t>
      </w:r>
      <w:r w:rsidRPr="00EC4DBB">
        <w:rPr>
          <w:i/>
          <w:iCs/>
        </w:rPr>
        <w:t>Higher cash flow forecast</w:t>
      </w:r>
    </w:p>
    <w:p w14:paraId="6E4E341A" w14:textId="0149F425" w:rsidR="003A7AE6" w:rsidRDefault="003A7AE6" w:rsidP="003A7AE6">
      <w:pPr>
        <w:numPr>
          <w:ilvl w:val="2"/>
          <w:numId w:val="1"/>
        </w:numPr>
        <w:spacing w:line="259" w:lineRule="auto"/>
      </w:pPr>
      <w:r w:rsidRPr="00EC4DBB">
        <w:t>We expect to generate more cash due to lower capital spending and a more stable working capital position. However, we will also take on more debt due to planned investments.</w:t>
      </w:r>
    </w:p>
    <w:p w14:paraId="32CCAB5E" w14:textId="7D5479A2" w:rsidR="003A7AE6" w:rsidRPr="00B43708" w:rsidRDefault="003A7AE6" w:rsidP="003A7AE6">
      <w:pPr>
        <w:spacing w:line="259" w:lineRule="auto"/>
      </w:pPr>
      <w:r w:rsidRPr="00B43708">
        <w:pict w14:anchorId="73EA448B">
          <v:rect id="_x0000_i1050" style="width:0;height:1.5pt" o:hralign="center" o:hrstd="t" o:hr="t" fillcolor="#a0a0a0" stroked="f"/>
        </w:pict>
      </w:r>
    </w:p>
    <w:p w14:paraId="70BFBDCB" w14:textId="66A0BE9A" w:rsidR="003A7AE6" w:rsidRPr="003A7AE6" w:rsidRDefault="003A7AE6" w:rsidP="003A7AE6">
      <w:pPr>
        <w:pStyle w:val="ListParagraph"/>
        <w:numPr>
          <w:ilvl w:val="0"/>
          <w:numId w:val="5"/>
        </w:numPr>
        <w:rPr>
          <w:b/>
          <w:bCs/>
          <w:color w:val="156082" w:themeColor="accent1"/>
        </w:rPr>
      </w:pPr>
      <w:r w:rsidRPr="003A7AE6">
        <w:rPr>
          <w:b/>
          <w:bCs/>
          <w:color w:val="156082" w:themeColor="accent1"/>
        </w:rPr>
        <w:t>Key Takeaways:</w:t>
      </w:r>
    </w:p>
    <w:p w14:paraId="1E75B342" w14:textId="77777777" w:rsidR="003A7AE6" w:rsidRPr="00EC4DBB" w:rsidRDefault="003A7AE6" w:rsidP="003A7AE6">
      <w:pPr>
        <w:numPr>
          <w:ilvl w:val="0"/>
          <w:numId w:val="1"/>
        </w:numPr>
        <w:spacing w:line="259" w:lineRule="auto"/>
      </w:pPr>
      <w:r w:rsidRPr="00EC4DBB">
        <w:rPr>
          <w:b/>
          <w:bCs/>
        </w:rPr>
        <w:t>2024</w:t>
      </w:r>
      <w:r>
        <w:rPr>
          <w:b/>
          <w:bCs/>
        </w:rPr>
        <w:t xml:space="preserve">: A Resilient Year Amid </w:t>
      </w:r>
      <w:r w:rsidRPr="00EC4DBB">
        <w:rPr>
          <w:b/>
          <w:bCs/>
        </w:rPr>
        <w:t>Challenges:</w:t>
      </w:r>
      <w:r w:rsidRPr="00EC4DBB">
        <w:t xml:space="preserve"> Despite a slight decline in sales</w:t>
      </w:r>
      <w:r>
        <w:t xml:space="preserve"> due to global market pressures</w:t>
      </w:r>
      <w:r w:rsidRPr="00EC4DBB">
        <w:t>, we managed costs well, improved margins, and kept the business stable.</w:t>
      </w:r>
    </w:p>
    <w:p w14:paraId="246AB95B" w14:textId="77777777" w:rsidR="003A7AE6" w:rsidRDefault="003A7AE6" w:rsidP="003A7AE6">
      <w:pPr>
        <w:numPr>
          <w:ilvl w:val="0"/>
          <w:numId w:val="1"/>
        </w:numPr>
        <w:spacing w:line="259" w:lineRule="auto"/>
      </w:pPr>
      <w:r w:rsidRPr="00EC4DBB">
        <w:rPr>
          <w:b/>
          <w:bCs/>
        </w:rPr>
        <w:t>2025</w:t>
      </w:r>
      <w:r>
        <w:rPr>
          <w:b/>
          <w:bCs/>
        </w:rPr>
        <w:t xml:space="preserve">: A Year of Stabilisation &amp; Smart Investments: </w:t>
      </w:r>
      <w:r>
        <w:t xml:space="preserve">We’re not where we need to be yet, but we have the right strategy and support from the Board. </w:t>
      </w:r>
    </w:p>
    <w:p w14:paraId="2D558B63" w14:textId="77777777" w:rsidR="003A7AE6" w:rsidRDefault="003A7AE6" w:rsidP="003A7AE6">
      <w:pPr>
        <w:numPr>
          <w:ilvl w:val="1"/>
          <w:numId w:val="1"/>
        </w:numPr>
        <w:spacing w:line="259" w:lineRule="auto"/>
      </w:pPr>
      <w:r>
        <w:t xml:space="preserve">To succeed, we’ll focus on preparing for growth, ensuring stability and making strategic investments, while staying true to our values of agility and accountability. </w:t>
      </w:r>
    </w:p>
    <w:p w14:paraId="45D118B3" w14:textId="77777777" w:rsidR="003A7AE6" w:rsidRPr="00EC4DBB" w:rsidRDefault="003A7AE6" w:rsidP="003A7AE6">
      <w:pPr>
        <w:numPr>
          <w:ilvl w:val="1"/>
          <w:numId w:val="1"/>
        </w:numPr>
        <w:spacing w:line="259" w:lineRule="auto"/>
      </w:pPr>
      <w:r>
        <w:t xml:space="preserve">This means </w:t>
      </w:r>
      <w:r w:rsidRPr="00EC4DBB">
        <w:t>managing costs</w:t>
      </w:r>
      <w:r>
        <w:t xml:space="preserve"> carefully and making necessary changes</w:t>
      </w:r>
      <w:r w:rsidRPr="00EC4DBB">
        <w:t>.</w:t>
      </w:r>
    </w:p>
    <w:p w14:paraId="01AD6CAA" w14:textId="77777777" w:rsidR="003A7AE6" w:rsidRDefault="003A7AE6" w:rsidP="003A7AE6">
      <w:pPr>
        <w:numPr>
          <w:ilvl w:val="0"/>
          <w:numId w:val="1"/>
        </w:numPr>
        <w:spacing w:line="259" w:lineRule="auto"/>
      </w:pPr>
      <w:r w:rsidRPr="00EC4DBB">
        <w:rPr>
          <w:b/>
          <w:bCs/>
        </w:rPr>
        <w:lastRenderedPageBreak/>
        <w:t>Impact on Our Team:</w:t>
      </w:r>
      <w:r w:rsidRPr="00EC4DBB">
        <w:t xml:space="preserve"> While there are some increases in marketing and staff </w:t>
      </w:r>
      <w:proofErr w:type="gramStart"/>
      <w:r w:rsidRPr="00EC4DBB">
        <w:t>costs,</w:t>
      </w:r>
      <w:proofErr w:type="gramEnd"/>
      <w:r w:rsidRPr="00EC4DBB">
        <w:t xml:space="preserve"> the overall goal is to ensure stability and lay the foundation for long-term growth.</w:t>
      </w:r>
      <w:r>
        <w:t xml:space="preserve"> </w:t>
      </w:r>
    </w:p>
    <w:p w14:paraId="28774D59" w14:textId="7BD927B8" w:rsidR="003A7AE6" w:rsidRPr="00B43708" w:rsidRDefault="003A7AE6" w:rsidP="003A7AE6">
      <w:pPr>
        <w:numPr>
          <w:ilvl w:val="1"/>
          <w:numId w:val="1"/>
        </w:numPr>
        <w:spacing w:line="259" w:lineRule="auto"/>
      </w:pPr>
      <w:r>
        <w:t>Your role is critical in maintaining financial discipline, executing strategy and positioning Colart for sustained growth.</w:t>
      </w:r>
    </w:p>
    <w:p w14:paraId="42B338A7" w14:textId="77777777" w:rsidR="00B43708" w:rsidRPr="00B43708" w:rsidRDefault="00B43708" w:rsidP="00B43708">
      <w:r w:rsidRPr="00B43708">
        <w:pict w14:anchorId="2C6A1F57">
          <v:rect id="_x0000_i1043" style="width:0;height:1.5pt" o:hralign="center" o:hrstd="t" o:hr="t" fillcolor="#a0a0a0" stroked="f"/>
        </w:pict>
      </w:r>
    </w:p>
    <w:p w14:paraId="16CE9232" w14:textId="5284B949" w:rsidR="003A7AE6" w:rsidRPr="003A7AE6" w:rsidRDefault="003A7AE6" w:rsidP="00B43708">
      <w:pPr>
        <w:rPr>
          <w:color w:val="E97132" w:themeColor="accent2"/>
          <w:sz w:val="28"/>
          <w:szCs w:val="28"/>
        </w:rPr>
      </w:pPr>
      <w:r>
        <w:rPr>
          <w:b/>
          <w:bCs/>
          <w:color w:val="E97132" w:themeColor="accent2"/>
          <w:sz w:val="28"/>
          <w:szCs w:val="28"/>
        </w:rPr>
        <w:t>Miami Art Week – Led by Erin Keenan, Consumer Marketing Director</w:t>
      </w:r>
    </w:p>
    <w:p w14:paraId="70912805" w14:textId="2275A884" w:rsidR="00B43708" w:rsidRPr="003A7AE6" w:rsidRDefault="00B43708" w:rsidP="003A7AE6">
      <w:pPr>
        <w:pStyle w:val="ListParagraph"/>
        <w:numPr>
          <w:ilvl w:val="0"/>
          <w:numId w:val="5"/>
        </w:numPr>
        <w:rPr>
          <w:color w:val="156082" w:themeColor="accent1"/>
        </w:rPr>
      </w:pPr>
      <w:r w:rsidRPr="003A7AE6">
        <w:rPr>
          <w:b/>
          <w:bCs/>
          <w:color w:val="156082" w:themeColor="accent1"/>
        </w:rPr>
        <w:t>Insights from Miami Art Week by Erin Keenan</w:t>
      </w:r>
    </w:p>
    <w:p w14:paraId="0BB9415B" w14:textId="77777777" w:rsidR="00B43708" w:rsidRPr="00B43708" w:rsidRDefault="00B43708" w:rsidP="00B43708">
      <w:pPr>
        <w:numPr>
          <w:ilvl w:val="0"/>
          <w:numId w:val="2"/>
        </w:numPr>
      </w:pPr>
      <w:r w:rsidRPr="00B43708">
        <w:rPr>
          <w:b/>
          <w:bCs/>
        </w:rPr>
        <w:t>Cultural Impact and Brand Engagement:</w:t>
      </w:r>
    </w:p>
    <w:p w14:paraId="5D0CE526" w14:textId="253C5774" w:rsidR="00B43708" w:rsidRPr="00B43708" w:rsidRDefault="00B43708" w:rsidP="00B43708">
      <w:pPr>
        <w:numPr>
          <w:ilvl w:val="1"/>
          <w:numId w:val="2"/>
        </w:numPr>
      </w:pPr>
      <w:r w:rsidRPr="00B43708">
        <w:t>Erin shared her experience attending Miami Art Week, emphasi</w:t>
      </w:r>
      <w:r w:rsidR="003A7AE6">
        <w:t>s</w:t>
      </w:r>
      <w:r w:rsidRPr="00B43708">
        <w:t>ing its significance as a cultural event and networking hub.</w:t>
      </w:r>
    </w:p>
    <w:p w14:paraId="52BFB945" w14:textId="77777777" w:rsidR="00B43708" w:rsidRPr="00B43708" w:rsidRDefault="00B43708" w:rsidP="00B43708">
      <w:pPr>
        <w:numPr>
          <w:ilvl w:val="1"/>
          <w:numId w:val="2"/>
        </w:numPr>
      </w:pPr>
      <w:r w:rsidRPr="00B43708">
        <w:t>She attended Art Basel and Design Miami, where large brands, such as Lufthansa and Land Rover, had presence, though Erin found the connection between art and these brands somewhat lacking in authenticity.</w:t>
      </w:r>
    </w:p>
    <w:p w14:paraId="20337D6F" w14:textId="77777777" w:rsidR="00B43708" w:rsidRPr="00B43708" w:rsidRDefault="00B43708" w:rsidP="00B43708">
      <w:pPr>
        <w:numPr>
          <w:ilvl w:val="1"/>
          <w:numId w:val="2"/>
        </w:numPr>
      </w:pPr>
      <w:r w:rsidRPr="00B43708">
        <w:t>The most meaningful opportunities for the company were at smaller, satellite events, like Aqua Art Miami, where brands could engage more authentically with artists and the art community.</w:t>
      </w:r>
    </w:p>
    <w:p w14:paraId="725FDE58" w14:textId="77777777" w:rsidR="00B43708" w:rsidRPr="00B43708" w:rsidRDefault="00B43708" w:rsidP="00B43708">
      <w:pPr>
        <w:numPr>
          <w:ilvl w:val="0"/>
          <w:numId w:val="2"/>
        </w:numPr>
      </w:pPr>
      <w:r w:rsidRPr="00B43708">
        <w:rPr>
          <w:b/>
          <w:bCs/>
        </w:rPr>
        <w:t>Partnership Opportunities:</w:t>
      </w:r>
    </w:p>
    <w:p w14:paraId="62E1B9B2" w14:textId="77777777" w:rsidR="00B43708" w:rsidRPr="00B43708" w:rsidRDefault="00B43708" w:rsidP="00B43708">
      <w:pPr>
        <w:numPr>
          <w:ilvl w:val="1"/>
          <w:numId w:val="2"/>
        </w:numPr>
      </w:pPr>
      <w:r w:rsidRPr="00B43708">
        <w:t>Erin highlighted the potential for partnerships with artists like Ashley Longshore, which could lead to exciting collaborations, particularly for products like Liquitex.</w:t>
      </w:r>
    </w:p>
    <w:p w14:paraId="089DD8E1" w14:textId="1FD97768" w:rsidR="00B43708" w:rsidRPr="00B43708" w:rsidRDefault="00B43708" w:rsidP="00B43708">
      <w:pPr>
        <w:numPr>
          <w:ilvl w:val="1"/>
          <w:numId w:val="2"/>
        </w:numPr>
      </w:pPr>
      <w:r w:rsidRPr="00B43708">
        <w:t>She emphasi</w:t>
      </w:r>
      <w:r w:rsidR="003A7AE6">
        <w:t>s</w:t>
      </w:r>
      <w:r w:rsidRPr="00B43708">
        <w:t>ed the importance of building authentic relationships and leveraging events like Miami Art Week to keep the company connected to the art world.</w:t>
      </w:r>
    </w:p>
    <w:p w14:paraId="2A95E2D7" w14:textId="77777777" w:rsidR="00B43708" w:rsidRPr="00B43708" w:rsidRDefault="00B43708" w:rsidP="00B43708">
      <w:r w:rsidRPr="00B43708">
        <w:pict w14:anchorId="7E411DAD">
          <v:rect id="_x0000_i1044" style="width:0;height:1.5pt" o:hralign="center" o:hrstd="t" o:hr="t" fillcolor="#a0a0a0" stroked="f"/>
        </w:pict>
      </w:r>
    </w:p>
    <w:p w14:paraId="532C274C" w14:textId="7050C51A" w:rsidR="00B43708" w:rsidRPr="003A7AE6" w:rsidRDefault="00B43708" w:rsidP="003A7AE6">
      <w:pPr>
        <w:pStyle w:val="ListParagraph"/>
        <w:numPr>
          <w:ilvl w:val="0"/>
          <w:numId w:val="5"/>
        </w:numPr>
        <w:rPr>
          <w:b/>
          <w:bCs/>
          <w:color w:val="156082" w:themeColor="accent1"/>
        </w:rPr>
      </w:pPr>
      <w:r w:rsidRPr="003A7AE6">
        <w:rPr>
          <w:b/>
          <w:bCs/>
          <w:color w:val="156082" w:themeColor="accent1"/>
        </w:rPr>
        <w:t>Key Takeaways</w:t>
      </w:r>
    </w:p>
    <w:p w14:paraId="0C8B694E" w14:textId="77777777" w:rsidR="00B43708" w:rsidRPr="00B43708" w:rsidRDefault="00B43708" w:rsidP="00B43708">
      <w:pPr>
        <w:numPr>
          <w:ilvl w:val="0"/>
          <w:numId w:val="3"/>
        </w:numPr>
      </w:pPr>
      <w:r w:rsidRPr="00B43708">
        <w:rPr>
          <w:b/>
          <w:bCs/>
        </w:rPr>
        <w:t>Brand Engagement:</w:t>
      </w:r>
    </w:p>
    <w:p w14:paraId="27F60901" w14:textId="39762588" w:rsidR="003A7AE6" w:rsidRPr="00B43708" w:rsidRDefault="00B43708" w:rsidP="003A7AE6">
      <w:pPr>
        <w:numPr>
          <w:ilvl w:val="1"/>
          <w:numId w:val="3"/>
        </w:numPr>
      </w:pPr>
      <w:r w:rsidRPr="00B43708">
        <w:t>Attend and stay curious about major events like trade shows and art fairs to build relationships with key industry players</w:t>
      </w:r>
      <w:r w:rsidR="003A7AE6">
        <w:t xml:space="preserve"> and capitalise on emerging trends.</w:t>
      </w:r>
    </w:p>
    <w:p w14:paraId="3088F028" w14:textId="77777777" w:rsidR="00B43708" w:rsidRPr="00B43708" w:rsidRDefault="00B43708" w:rsidP="00B43708">
      <w:pPr>
        <w:numPr>
          <w:ilvl w:val="1"/>
          <w:numId w:val="3"/>
        </w:numPr>
      </w:pPr>
      <w:r w:rsidRPr="00B43708">
        <w:t>Continue exploring meaningful ways to connect with art and innovation, ensuring that the company's presence at these events feels authentic and resonates with audiences.</w:t>
      </w:r>
    </w:p>
    <w:p w14:paraId="4097C8E9" w14:textId="5710C583" w:rsidR="003137C7" w:rsidRDefault="00B43708">
      <w:r w:rsidRPr="00B43708">
        <w:pict w14:anchorId="231C6438">
          <v:rect id="_x0000_i1045" style="width:0;height:1.5pt" o:hralign="center" o:hrstd="t" o:hr="t" fillcolor="#a0a0a0" stroked="f"/>
        </w:pict>
      </w:r>
    </w:p>
    <w:sectPr w:rsidR="003137C7" w:rsidSect="00B43708">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E0D1E"/>
    <w:multiLevelType w:val="multilevel"/>
    <w:tmpl w:val="DE586B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D70FDF"/>
    <w:multiLevelType w:val="multilevel"/>
    <w:tmpl w:val="3884B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B459D"/>
    <w:multiLevelType w:val="hybridMultilevel"/>
    <w:tmpl w:val="964A0C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C850E5"/>
    <w:multiLevelType w:val="multilevel"/>
    <w:tmpl w:val="4B6A8F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DD33E3"/>
    <w:multiLevelType w:val="multilevel"/>
    <w:tmpl w:val="9B0A78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6E3324"/>
    <w:multiLevelType w:val="multilevel"/>
    <w:tmpl w:val="69D0D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0A7F53"/>
    <w:multiLevelType w:val="multilevel"/>
    <w:tmpl w:val="BE1826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E15DA2"/>
    <w:multiLevelType w:val="hybridMultilevel"/>
    <w:tmpl w:val="3C2E05CA"/>
    <w:lvl w:ilvl="0" w:tplc="56AEE3C8">
      <w:start w:val="2"/>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53278FB"/>
    <w:multiLevelType w:val="multilevel"/>
    <w:tmpl w:val="73D2CEF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0665214">
    <w:abstractNumId w:val="0"/>
  </w:num>
  <w:num w:numId="2" w16cid:durableId="43262348">
    <w:abstractNumId w:val="6"/>
  </w:num>
  <w:num w:numId="3" w16cid:durableId="1136291597">
    <w:abstractNumId w:val="5"/>
  </w:num>
  <w:num w:numId="4" w16cid:durableId="1373457669">
    <w:abstractNumId w:val="1"/>
  </w:num>
  <w:num w:numId="5" w16cid:durableId="285046363">
    <w:abstractNumId w:val="7"/>
  </w:num>
  <w:num w:numId="6" w16cid:durableId="338582016">
    <w:abstractNumId w:val="4"/>
  </w:num>
  <w:num w:numId="7" w16cid:durableId="138155639">
    <w:abstractNumId w:val="2"/>
  </w:num>
  <w:num w:numId="8" w16cid:durableId="1445731542">
    <w:abstractNumId w:val="3"/>
  </w:num>
  <w:num w:numId="9" w16cid:durableId="4355583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708"/>
    <w:rsid w:val="001A642A"/>
    <w:rsid w:val="003137C7"/>
    <w:rsid w:val="003A7AE6"/>
    <w:rsid w:val="005F457F"/>
    <w:rsid w:val="00B43708"/>
    <w:rsid w:val="00D31A0D"/>
    <w:rsid w:val="00FC17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A4511"/>
  <w15:chartTrackingRefBased/>
  <w15:docId w15:val="{C2B40663-C6F5-473F-872A-0911CFCF3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37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37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37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37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37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37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37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37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37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7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37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37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37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37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37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37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37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3708"/>
    <w:rPr>
      <w:rFonts w:eastAsiaTheme="majorEastAsia" w:cstheme="majorBidi"/>
      <w:color w:val="272727" w:themeColor="text1" w:themeTint="D8"/>
    </w:rPr>
  </w:style>
  <w:style w:type="paragraph" w:styleId="Title">
    <w:name w:val="Title"/>
    <w:basedOn w:val="Normal"/>
    <w:next w:val="Normal"/>
    <w:link w:val="TitleChar"/>
    <w:uiPriority w:val="10"/>
    <w:qFormat/>
    <w:rsid w:val="00B437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37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37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37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3708"/>
    <w:pPr>
      <w:spacing w:before="160"/>
      <w:jc w:val="center"/>
    </w:pPr>
    <w:rPr>
      <w:i/>
      <w:iCs/>
      <w:color w:val="404040" w:themeColor="text1" w:themeTint="BF"/>
    </w:rPr>
  </w:style>
  <w:style w:type="character" w:customStyle="1" w:styleId="QuoteChar">
    <w:name w:val="Quote Char"/>
    <w:basedOn w:val="DefaultParagraphFont"/>
    <w:link w:val="Quote"/>
    <w:uiPriority w:val="29"/>
    <w:rsid w:val="00B43708"/>
    <w:rPr>
      <w:i/>
      <w:iCs/>
      <w:color w:val="404040" w:themeColor="text1" w:themeTint="BF"/>
    </w:rPr>
  </w:style>
  <w:style w:type="paragraph" w:styleId="ListParagraph">
    <w:name w:val="List Paragraph"/>
    <w:basedOn w:val="Normal"/>
    <w:uiPriority w:val="34"/>
    <w:qFormat/>
    <w:rsid w:val="00B43708"/>
    <w:pPr>
      <w:ind w:left="720"/>
      <w:contextualSpacing/>
    </w:pPr>
  </w:style>
  <w:style w:type="character" w:styleId="IntenseEmphasis">
    <w:name w:val="Intense Emphasis"/>
    <w:basedOn w:val="DefaultParagraphFont"/>
    <w:uiPriority w:val="21"/>
    <w:qFormat/>
    <w:rsid w:val="00B43708"/>
    <w:rPr>
      <w:i/>
      <w:iCs/>
      <w:color w:val="0F4761" w:themeColor="accent1" w:themeShade="BF"/>
    </w:rPr>
  </w:style>
  <w:style w:type="paragraph" w:styleId="IntenseQuote">
    <w:name w:val="Intense Quote"/>
    <w:basedOn w:val="Normal"/>
    <w:next w:val="Normal"/>
    <w:link w:val="IntenseQuoteChar"/>
    <w:uiPriority w:val="30"/>
    <w:qFormat/>
    <w:rsid w:val="00B437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3708"/>
    <w:rPr>
      <w:i/>
      <w:iCs/>
      <w:color w:val="0F4761" w:themeColor="accent1" w:themeShade="BF"/>
    </w:rPr>
  </w:style>
  <w:style w:type="character" w:styleId="IntenseReference">
    <w:name w:val="Intense Reference"/>
    <w:basedOn w:val="DefaultParagraphFont"/>
    <w:uiPriority w:val="32"/>
    <w:qFormat/>
    <w:rsid w:val="00B437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97080">
      <w:bodyDiv w:val="1"/>
      <w:marLeft w:val="0"/>
      <w:marRight w:val="0"/>
      <w:marTop w:val="0"/>
      <w:marBottom w:val="0"/>
      <w:divBdr>
        <w:top w:val="none" w:sz="0" w:space="0" w:color="auto"/>
        <w:left w:val="none" w:sz="0" w:space="0" w:color="auto"/>
        <w:bottom w:val="none" w:sz="0" w:space="0" w:color="auto"/>
        <w:right w:val="none" w:sz="0" w:space="0" w:color="auto"/>
      </w:divBdr>
    </w:div>
    <w:div w:id="46658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795</Words>
  <Characters>4537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Selby</dc:creator>
  <cp:keywords/>
  <dc:description/>
  <cp:lastModifiedBy>Eleanor Selby</cp:lastModifiedBy>
  <cp:revision>1</cp:revision>
  <dcterms:created xsi:type="dcterms:W3CDTF">2025-01-28T11:57:00Z</dcterms:created>
  <dcterms:modified xsi:type="dcterms:W3CDTF">2025-01-28T13:06:00Z</dcterms:modified>
</cp:coreProperties>
</file>