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8141" w14:textId="132FB462" w:rsidR="00B43708" w:rsidRDefault="00B43708" w:rsidP="00B43708">
      <w:pPr>
        <w:rPr>
          <w:b/>
          <w:bCs/>
          <w:sz w:val="36"/>
          <w:szCs w:val="36"/>
        </w:rPr>
      </w:pPr>
      <w:r w:rsidRPr="00B43708">
        <w:rPr>
          <w:b/>
          <w:bCs/>
          <w:sz w:val="36"/>
          <w:szCs w:val="36"/>
        </w:rPr>
        <w:t>Résumé de la réunion publique : points saillants et points à retenir</w:t>
      </w:r>
    </w:p>
    <w:p w14:paraId="5626FF0F" w14:textId="63DE2D33" w:rsidR="003A7AE6" w:rsidRPr="00B43708" w:rsidRDefault="003A7AE6" w:rsidP="00B43708">
      <w:pPr>
        <w:rPr>
          <w:color w:val="E97132" w:themeColor="accent2"/>
          <w:sz w:val="28"/>
          <w:szCs w:val="28"/>
        </w:rPr>
      </w:pPr>
      <w:r w:rsidRPr="003A7AE6">
        <w:rPr>
          <w:b/>
          <w:bCs/>
          <w:color w:val="E97132" w:themeColor="accent2"/>
          <w:sz w:val="28"/>
          <w:szCs w:val="28"/>
        </w:rPr>
        <w:t>Mise à jour financière – Dirigée par Jonathan Spight, directeur financier</w:t>
      </w:r>
    </w:p>
    <w:p w14:paraId="399443F9" w14:textId="49D4788E" w:rsidR="00B43708" w:rsidRPr="00B43708" w:rsidRDefault="00B43708" w:rsidP="00B43708">
      <w:pPr>
        <w:rPr>
          <w:color w:val="156082" w:themeColor="accent1"/>
        </w:rPr>
      </w:pPr>
      <w:r w:rsidRPr="00B43708">
        <w:rPr>
          <w:b/>
          <w:bCs/>
          <w:color w:val="156082" w:themeColor="accent1"/>
        </w:rPr>
        <w:t>1. Aperçu des performances de 2024</w:t>
      </w:r>
    </w:p>
    <w:p w14:paraId="08008B7D" w14:textId="77777777" w:rsidR="00B43708" w:rsidRPr="00B43708" w:rsidRDefault="00B43708" w:rsidP="00B43708">
      <w:pPr>
        <w:numPr>
          <w:ilvl w:val="0"/>
          <w:numId w:val="1"/>
        </w:numPr>
      </w:pPr>
      <w:r w:rsidRPr="00B43708">
        <w:rPr>
          <w:b/>
          <w:bCs/>
        </w:rPr>
        <w:t>Défis économiques et baisse des ventes :</w:t>
      </w:r>
    </w:p>
    <w:p w14:paraId="17F400B2" w14:textId="342F2364" w:rsidR="00B43708" w:rsidRDefault="00B43708" w:rsidP="00B43708">
      <w:pPr>
        <w:numPr>
          <w:ilvl w:val="1"/>
          <w:numId w:val="1"/>
        </w:numPr>
      </w:pPr>
      <w:r w:rsidRPr="00B43708">
        <w:t>L'entreprise a fait face à une année de ventes difficile avec une baisse de 1,9% par rapport à 2023.</w:t>
      </w:r>
    </w:p>
    <w:p w14:paraId="03F64759" w14:textId="70163B38" w:rsidR="00B43708" w:rsidRDefault="00B43708" w:rsidP="003A7AE6">
      <w:pPr>
        <w:numPr>
          <w:ilvl w:val="2"/>
          <w:numId w:val="1"/>
        </w:numPr>
      </w:pPr>
      <w:r>
        <w:t>Les ventes ont été particulièrement impactées sur les marchés internationaux, notamment en Asie-Pacifique (Taïwan, Inde) et en Amérique latine (Argentine). Des marques comme W&amp;N et SNAZAROO ont connu des difficultés.</w:t>
      </w:r>
    </w:p>
    <w:p w14:paraId="0FD4167C" w14:textId="6D438BDC" w:rsidR="00B43708" w:rsidRPr="00B43708" w:rsidRDefault="00B43708" w:rsidP="00B43708">
      <w:pPr>
        <w:numPr>
          <w:ilvl w:val="1"/>
          <w:numId w:val="1"/>
        </w:numPr>
      </w:pPr>
      <w:r w:rsidRPr="00B43708">
        <w:t>Les ventes dans certaines catégories comme les acryliques et les aquarelles ont enregistré de bons résultats, mais d’autres comme les huiles, les médiums et les toiles ont enregistré un déclin.</w:t>
      </w:r>
    </w:p>
    <w:p w14:paraId="3C8640DE" w14:textId="77777777" w:rsidR="00B43708" w:rsidRPr="00B43708" w:rsidRDefault="00B43708" w:rsidP="00B43708">
      <w:pPr>
        <w:numPr>
          <w:ilvl w:val="1"/>
          <w:numId w:val="1"/>
        </w:numPr>
      </w:pPr>
      <w:r w:rsidRPr="00B43708">
        <w:t>La vente directe au consommateur (DTC) a connu une croissance, doublant, passant de 600 000 £ à 1,3 million £.</w:t>
      </w:r>
    </w:p>
    <w:p w14:paraId="48C303A4" w14:textId="77777777" w:rsidR="00B43708" w:rsidRPr="00B43708" w:rsidRDefault="00B43708" w:rsidP="00B43708">
      <w:pPr>
        <w:numPr>
          <w:ilvl w:val="0"/>
          <w:numId w:val="1"/>
        </w:numPr>
      </w:pPr>
      <w:r w:rsidRPr="00B43708">
        <w:rPr>
          <w:b/>
          <w:bCs/>
        </w:rPr>
        <w:t>Marges et coûts :</w:t>
      </w:r>
    </w:p>
    <w:p w14:paraId="5EDFD9A9" w14:textId="77777777" w:rsidR="00D31A0D" w:rsidRDefault="00B43708" w:rsidP="00B43708">
      <w:pPr>
        <w:numPr>
          <w:ilvl w:val="1"/>
          <w:numId w:val="1"/>
        </w:numPr>
      </w:pPr>
      <w:r w:rsidRPr="00B43708">
        <w:t>La marge brute s'est améliorée de 1,3 %, principalement grâce à un mix de produits favorable et à des efforts de restructuration (par exemple en Chine).</w:t>
      </w:r>
    </w:p>
    <w:p w14:paraId="7C6F7DAC" w14:textId="6FBDC949" w:rsidR="00B43708" w:rsidRPr="00B43708" w:rsidRDefault="00D31A0D" w:rsidP="00D31A0D">
      <w:pPr>
        <w:numPr>
          <w:ilvl w:val="2"/>
          <w:numId w:val="1"/>
        </w:numPr>
      </w:pPr>
      <w:r>
        <w:t>Avec des augmentations de prix limitées, des défis subsistent en matière de coûts et de volumes de fret, et les usines fonctionnent toujours à faible taux d'utilisation sur tous les sites.</w:t>
      </w:r>
    </w:p>
    <w:p w14:paraId="5C351A2E" w14:textId="336F57EB" w:rsidR="00B43708" w:rsidRDefault="00D31A0D" w:rsidP="00B43708">
      <w:pPr>
        <w:numPr>
          <w:ilvl w:val="1"/>
          <w:numId w:val="1"/>
        </w:numPr>
      </w:pPr>
      <w:r>
        <w:t>Il y a eu une légère augmentation des dépenses d'exploitation (OPEX, en hausse de 800 000 £), mais elles ont été globalement gérées de manière rigoureuse, avec des dépenses soucieuses des coûts malgré quelques augmentations dans le marketing.</w:t>
      </w:r>
    </w:p>
    <w:p w14:paraId="3E109EF5" w14:textId="1EAEF3A0" w:rsidR="00D31A0D" w:rsidRPr="00B43708" w:rsidRDefault="00D31A0D" w:rsidP="00D31A0D">
      <w:pPr>
        <w:numPr>
          <w:ilvl w:val="2"/>
          <w:numId w:val="1"/>
        </w:numPr>
      </w:pPr>
      <w:r w:rsidRPr="001271FB">
        <w:t>Réduction des primes d’encouragement et contrôle des dépenses discrétionnaires pour maintenir l’équilibre.</w:t>
      </w:r>
    </w:p>
    <w:p w14:paraId="794E081C" w14:textId="268B9DBB" w:rsidR="00D31A0D" w:rsidRDefault="00D31A0D" w:rsidP="00D31A0D">
      <w:pPr>
        <w:numPr>
          <w:ilvl w:val="1"/>
          <w:numId w:val="1"/>
        </w:numPr>
      </w:pPr>
      <w:r w:rsidRPr="00B43708">
        <w:t>L'EBIT (bénéfice avant intérêts et impôts) est resté stable malgré la baisse des ventes à 4,7 millions de livres sterling.</w:t>
      </w:r>
    </w:p>
    <w:p w14:paraId="19B7A4D1" w14:textId="4E2B2B2E" w:rsidR="00D31A0D" w:rsidRPr="00B43708" w:rsidRDefault="00D31A0D" w:rsidP="003A7AE6">
      <w:pPr>
        <w:numPr>
          <w:ilvl w:val="2"/>
          <w:numId w:val="1"/>
        </w:numPr>
      </w:pPr>
      <w:r>
        <w:t>Des améliorations notables ont été constatées en Europe, où nous avons transformé une perte en bénéfice. Mais nous fonctionnons toujours en perte après impôts et intérêts, ce que nous devons corriger à l'avenir.</w:t>
      </w:r>
    </w:p>
    <w:p w14:paraId="7C3A49B9" w14:textId="77777777" w:rsidR="00B43708" w:rsidRDefault="00B43708" w:rsidP="00B43708">
      <w:pPr>
        <w:numPr>
          <w:ilvl w:val="1"/>
          <w:numId w:val="1"/>
        </w:numPr>
      </w:pPr>
      <w:r w:rsidRPr="00B43708">
        <w:lastRenderedPageBreak/>
        <w:t>L’une des principales préoccupations concernait les flux de trésorerie, qui n’ont pas répondu aux attentes, ce qui a entraîné une augmentation de la dette de l’entreprise.</w:t>
      </w:r>
    </w:p>
    <w:p w14:paraId="54E8169D" w14:textId="5FC112BB" w:rsidR="003A7AE6" w:rsidRDefault="00883E73" w:rsidP="003A7AE6">
      <w:r>
        <w:pict w14:anchorId="5F5BCC7F">
          <v:rect id="_x0000_i1025" style="width:0;height:1.5pt" o:hralign="center" o:hrstd="t" o:hr="t" fillcolor="#a0a0a0" stroked="f"/>
        </w:pict>
      </w:r>
    </w:p>
    <w:p w14:paraId="6369010D" w14:textId="79854B18" w:rsidR="00B43708" w:rsidRPr="00B43708" w:rsidRDefault="00B43708" w:rsidP="00B43708">
      <w:pPr>
        <w:pStyle w:val="ListParagraph"/>
        <w:numPr>
          <w:ilvl w:val="0"/>
          <w:numId w:val="5"/>
        </w:numPr>
        <w:rPr>
          <w:b/>
          <w:bCs/>
          <w:color w:val="156082" w:themeColor="accent1"/>
        </w:rPr>
      </w:pPr>
      <w:r w:rsidRPr="00B43708">
        <w:rPr>
          <w:b/>
          <w:bCs/>
          <w:color w:val="156082" w:themeColor="accent1"/>
        </w:rPr>
        <w:t>Stratégie financière 2025</w:t>
      </w:r>
    </w:p>
    <w:p w14:paraId="632B3770" w14:textId="77777777" w:rsidR="00B43708" w:rsidRPr="00B43708" w:rsidRDefault="00B43708" w:rsidP="00B43708">
      <w:pPr>
        <w:numPr>
          <w:ilvl w:val="0"/>
          <w:numId w:val="1"/>
        </w:numPr>
      </w:pPr>
      <w:r w:rsidRPr="00B43708">
        <w:rPr>
          <w:b/>
          <w:bCs/>
        </w:rPr>
        <w:t>Vision stratégique pour 2025 :</w:t>
      </w:r>
    </w:p>
    <w:p w14:paraId="0BFABFFF" w14:textId="6BB29FD0" w:rsidR="00B43708" w:rsidRDefault="00B43708" w:rsidP="00B43708">
      <w:pPr>
        <w:numPr>
          <w:ilvl w:val="1"/>
          <w:numId w:val="1"/>
        </w:numPr>
      </w:pPr>
      <w:r>
        <w:rPr>
          <w:b/>
          <w:bCs/>
        </w:rPr>
        <w:t xml:space="preserve">Année de </w:t>
      </w:r>
      <w:r w:rsidRPr="00B43708">
        <w:rPr>
          <w:b/>
          <w:bCs/>
        </w:rPr>
        <w:t xml:space="preserve">stabilisation : </w:t>
      </w:r>
      <w:r w:rsidRPr="00B43708">
        <w:t>La société a déclaré 2025 comme une année de stabilisation des opérations et de préparation à la croissance future, en équilibrant :</w:t>
      </w:r>
    </w:p>
    <w:p w14:paraId="1CD9107D" w14:textId="77777777" w:rsidR="00D31A0D" w:rsidRPr="00026BB0" w:rsidRDefault="00D31A0D" w:rsidP="00D31A0D">
      <w:pPr>
        <w:pStyle w:val="ListParagraph"/>
        <w:numPr>
          <w:ilvl w:val="2"/>
          <w:numId w:val="1"/>
        </w:numPr>
        <w:spacing w:line="259" w:lineRule="auto"/>
      </w:pPr>
      <w:r w:rsidRPr="00026BB0">
        <w:t>Des investissements dans des domaines clés comme la vente directe au consommateur (DTC) (toujours un produit d'appel) et une augmentation des dépenses A&amp;P.</w:t>
      </w:r>
    </w:p>
    <w:p w14:paraId="4E5A57C3" w14:textId="77777777" w:rsidR="00D31A0D" w:rsidRPr="00026BB0" w:rsidRDefault="00D31A0D" w:rsidP="00D31A0D">
      <w:pPr>
        <w:pStyle w:val="ListParagraph"/>
        <w:numPr>
          <w:ilvl w:val="2"/>
          <w:numId w:val="1"/>
        </w:numPr>
        <w:spacing w:line="259" w:lineRule="auto"/>
      </w:pPr>
      <w:r w:rsidRPr="00026BB0">
        <w:t>Des attentes de vente réalistes pour éviter les efforts excessifs.</w:t>
      </w:r>
    </w:p>
    <w:p w14:paraId="79B7D7A7" w14:textId="6691C34A" w:rsidR="00D31A0D" w:rsidRPr="00B43708" w:rsidRDefault="00D31A0D" w:rsidP="00D31A0D">
      <w:pPr>
        <w:pStyle w:val="ListParagraph"/>
        <w:numPr>
          <w:ilvl w:val="2"/>
          <w:numId w:val="1"/>
        </w:numPr>
        <w:spacing w:line="259" w:lineRule="auto"/>
      </w:pPr>
      <w:r w:rsidRPr="00026BB0">
        <w:t>Un EBIT réduit, ce qui signifie que la société restera déficitaire après impôts (-1,0 million de livres sterling).</w:t>
      </w:r>
    </w:p>
    <w:p w14:paraId="3E98DFF1" w14:textId="1ECC01D4" w:rsidR="00D31A0D" w:rsidRDefault="00B43708" w:rsidP="00D31A0D">
      <w:pPr>
        <w:numPr>
          <w:ilvl w:val="1"/>
          <w:numId w:val="1"/>
        </w:numPr>
      </w:pPr>
      <w:r w:rsidRPr="00B43708">
        <w:t>Le budget comprend une croissance modeste des ventes nettes de 3,5 % ; nos principales marques (comme W&amp;N, Liquitex et SNAZAROO) devraient connaître une croissance, et nos ventes directes au consommateur devraient atteindre 1,9 million de livres sterling.</w:t>
      </w:r>
    </w:p>
    <w:p w14:paraId="4C1962F9" w14:textId="4322DE0F" w:rsidR="00D31A0D" w:rsidRPr="00B43708" w:rsidRDefault="00D31A0D" w:rsidP="00D31A0D">
      <w:pPr>
        <w:numPr>
          <w:ilvl w:val="1"/>
          <w:numId w:val="1"/>
        </w:numPr>
        <w:spacing w:line="259" w:lineRule="auto"/>
      </w:pPr>
      <w:r w:rsidRPr="00EC4DBB">
        <w:t>Nous prévoyons de gérer les coûts avec soin et de procéder à de petits ajustements de prix, ce qui nous permet d'anticiper une légère augmentation de la marge brute. Nous resterons également vigilants quant aux éventuelles modifications des tarifs aux États-Unis et aux répercussions sur les salaires au Royaume-Uni qui pourraient affecter nos coûts.</w:t>
      </w:r>
    </w:p>
    <w:p w14:paraId="15262C94" w14:textId="5BF3B431" w:rsidR="00B43708" w:rsidRDefault="00D31A0D" w:rsidP="00B43708">
      <w:pPr>
        <w:numPr>
          <w:ilvl w:val="1"/>
          <w:numId w:val="1"/>
        </w:numPr>
      </w:pPr>
      <w:r>
        <w:t>Les dépenses d'exploitation ont augmenté de 3,8 millions de livres sterling – des dépenses accrues mais stratégiquement contrôlées.</w:t>
      </w:r>
    </w:p>
    <w:p w14:paraId="56AAB2BF" w14:textId="30E9D5CE" w:rsidR="00D31A0D" w:rsidRDefault="00D31A0D" w:rsidP="00D31A0D">
      <w:pPr>
        <w:numPr>
          <w:ilvl w:val="2"/>
          <w:numId w:val="1"/>
        </w:numPr>
        <w:spacing w:line="259" w:lineRule="auto"/>
      </w:pPr>
      <w:r w:rsidRPr="00EC4DBB">
        <w:t>Nous allons augmenter nos dépenses marketing et nos frais de personnel, et nous allons procéder à des investissements stratégiques. Mais nous nous concentrons également sur la maîtrise des coûts, en particulier des frais de personnel.</w:t>
      </w:r>
    </w:p>
    <w:p w14:paraId="4931C18E" w14:textId="77777777" w:rsidR="003A7AE6" w:rsidRPr="00EC4DBB" w:rsidRDefault="003A7AE6" w:rsidP="003A7AE6">
      <w:pPr>
        <w:numPr>
          <w:ilvl w:val="1"/>
          <w:numId w:val="1"/>
        </w:numPr>
        <w:spacing w:line="259" w:lineRule="auto"/>
      </w:pPr>
      <w:r w:rsidRPr="003A7AE6">
        <w:t xml:space="preserve">EBIT </w:t>
      </w:r>
      <w:r w:rsidRPr="00EC4DBB">
        <w:rPr>
          <w:b/>
          <w:bCs/>
        </w:rPr>
        <w:t xml:space="preserve">: </w:t>
      </w:r>
      <w:r w:rsidRPr="00EC4DBB">
        <w:t xml:space="preserve">3,7 M£ – </w:t>
      </w:r>
      <w:r w:rsidRPr="00EC4DBB">
        <w:rPr>
          <w:i/>
          <w:iCs/>
        </w:rPr>
        <w:t>Un bénéfice plus faible attendu, mais toujours stable</w:t>
      </w:r>
    </w:p>
    <w:p w14:paraId="14DB4506" w14:textId="77777777" w:rsidR="003A7AE6" w:rsidRPr="00EC4DBB" w:rsidRDefault="003A7AE6" w:rsidP="003A7AE6">
      <w:pPr>
        <w:numPr>
          <w:ilvl w:val="2"/>
          <w:numId w:val="1"/>
        </w:numPr>
        <w:spacing w:line="259" w:lineRule="auto"/>
      </w:pPr>
      <w:r w:rsidRPr="00EC4DBB">
        <w:t>Nous visons la stabilité en 2025, avec un bénéfice inférieur à celui de 2024. L'accent sera mis sur la préparation des bases de la croissance future tout en gérant soigneusement les coûts.</w:t>
      </w:r>
    </w:p>
    <w:p w14:paraId="3AF3A1E4" w14:textId="77777777" w:rsidR="003A7AE6" w:rsidRPr="00EC4DBB" w:rsidRDefault="003A7AE6" w:rsidP="003A7AE6">
      <w:pPr>
        <w:numPr>
          <w:ilvl w:val="1"/>
          <w:numId w:val="1"/>
        </w:numPr>
        <w:spacing w:line="259" w:lineRule="auto"/>
      </w:pPr>
      <w:r w:rsidRPr="003A7AE6">
        <w:t xml:space="preserve">Flux de trésorerie </w:t>
      </w:r>
      <w:r w:rsidRPr="00EC4DBB">
        <w:rPr>
          <w:b/>
          <w:bCs/>
        </w:rPr>
        <w:t xml:space="preserve">: </w:t>
      </w:r>
      <w:r w:rsidRPr="00EC4DBB">
        <w:t xml:space="preserve">6,6 M£ – </w:t>
      </w:r>
      <w:r w:rsidRPr="00EC4DBB">
        <w:rPr>
          <w:i/>
          <w:iCs/>
        </w:rPr>
        <w:t>Prévisions de flux de trésorerie plus élevées</w:t>
      </w:r>
    </w:p>
    <w:p w14:paraId="6E4E341A" w14:textId="0149F425" w:rsidR="003A7AE6" w:rsidRDefault="003A7AE6" w:rsidP="003A7AE6">
      <w:pPr>
        <w:numPr>
          <w:ilvl w:val="2"/>
          <w:numId w:val="1"/>
        </w:numPr>
        <w:spacing w:line="259" w:lineRule="auto"/>
      </w:pPr>
      <w:r w:rsidRPr="00EC4DBB">
        <w:lastRenderedPageBreak/>
        <w:t>Nous prévoyons de générer davantage de liquidités grâce à une réduction des dépenses d'investissement et à une position de fonds de roulement plus stable. Cependant, nous allons également contracter davantage de dettes en raison des investissements prévus.</w:t>
      </w:r>
    </w:p>
    <w:p w14:paraId="32CCAB5E" w14:textId="7D5479A2" w:rsidR="003A7AE6" w:rsidRPr="00B43708" w:rsidRDefault="00883E73" w:rsidP="003A7AE6">
      <w:pPr>
        <w:spacing w:line="259" w:lineRule="auto"/>
      </w:pPr>
      <w:r>
        <w:pict w14:anchorId="73EA448B">
          <v:rect id="_x0000_i1026" style="width:0;height:1.5pt" o:hralign="center" o:hrstd="t" o:hr="t" fillcolor="#a0a0a0" stroked="f"/>
        </w:pict>
      </w:r>
    </w:p>
    <w:p w14:paraId="70BFBDCB" w14:textId="66A0BE9A" w:rsidR="003A7AE6" w:rsidRPr="003A7AE6" w:rsidRDefault="003A7AE6" w:rsidP="003A7AE6">
      <w:pPr>
        <w:pStyle w:val="ListParagraph"/>
        <w:numPr>
          <w:ilvl w:val="0"/>
          <w:numId w:val="5"/>
        </w:numPr>
        <w:rPr>
          <w:b/>
          <w:bCs/>
          <w:color w:val="156082" w:themeColor="accent1"/>
        </w:rPr>
      </w:pPr>
      <w:r w:rsidRPr="003A7AE6">
        <w:rPr>
          <w:b/>
          <w:bCs/>
          <w:color w:val="156082" w:themeColor="accent1"/>
        </w:rPr>
        <w:t>Principaux points à retenir :</w:t>
      </w:r>
    </w:p>
    <w:p w14:paraId="1E75B342" w14:textId="77777777" w:rsidR="003A7AE6" w:rsidRPr="00EC4DBB" w:rsidRDefault="003A7AE6" w:rsidP="003A7AE6">
      <w:pPr>
        <w:numPr>
          <w:ilvl w:val="0"/>
          <w:numId w:val="1"/>
        </w:numPr>
        <w:spacing w:line="259" w:lineRule="auto"/>
      </w:pPr>
      <w:r w:rsidRPr="00EC4DBB">
        <w:rPr>
          <w:b/>
          <w:bCs/>
        </w:rPr>
        <w:t xml:space="preserve">2024 : une année résiliente malgré les défis : </w:t>
      </w:r>
      <w:r w:rsidRPr="00EC4DBB">
        <w:t>malgré une légère baisse des ventes due aux pressions du marché mondial, nous avons bien géré les coûts, amélioré les marges et maintenu la stabilité de l'activité.</w:t>
      </w:r>
    </w:p>
    <w:p w14:paraId="246AB95B" w14:textId="77777777" w:rsidR="003A7AE6" w:rsidRDefault="003A7AE6" w:rsidP="003A7AE6">
      <w:pPr>
        <w:numPr>
          <w:ilvl w:val="0"/>
          <w:numId w:val="1"/>
        </w:numPr>
        <w:spacing w:line="259" w:lineRule="auto"/>
      </w:pPr>
      <w:r w:rsidRPr="00EC4DBB">
        <w:rPr>
          <w:b/>
          <w:bCs/>
        </w:rPr>
        <w:t xml:space="preserve">2025 : une année de stabilisation et d’investissements intelligents : </w:t>
      </w:r>
      <w:r>
        <w:t>nous ne sommes pas encore là où nous devrions être, mais nous avons la bonne stratégie et le soutien du Conseil d’administration.</w:t>
      </w:r>
    </w:p>
    <w:p w14:paraId="2D558B63" w14:textId="77777777" w:rsidR="003A7AE6" w:rsidRDefault="003A7AE6" w:rsidP="003A7AE6">
      <w:pPr>
        <w:numPr>
          <w:ilvl w:val="1"/>
          <w:numId w:val="1"/>
        </w:numPr>
        <w:spacing w:line="259" w:lineRule="auto"/>
      </w:pPr>
      <w:r>
        <w:t>Pour réussir, nous nous concentrerons sur la préparation de la croissance, la garantie de la stabilité et la réalisation d’investissements stratégiques, tout en restant fidèles à nos valeurs d’agilité et de responsabilité.</w:t>
      </w:r>
    </w:p>
    <w:p w14:paraId="45D118B3" w14:textId="77777777" w:rsidR="003A7AE6" w:rsidRPr="00EC4DBB" w:rsidRDefault="003A7AE6" w:rsidP="003A7AE6">
      <w:pPr>
        <w:numPr>
          <w:ilvl w:val="1"/>
          <w:numId w:val="1"/>
        </w:numPr>
        <w:spacing w:line="259" w:lineRule="auto"/>
      </w:pPr>
      <w:r>
        <w:t>Cela signifie gérer soigneusement les coûts et apporter les changements nécessaires.</w:t>
      </w:r>
    </w:p>
    <w:p w14:paraId="01AD6CAA" w14:textId="77777777" w:rsidR="003A7AE6" w:rsidRDefault="003A7AE6" w:rsidP="003A7AE6">
      <w:pPr>
        <w:numPr>
          <w:ilvl w:val="0"/>
          <w:numId w:val="1"/>
        </w:numPr>
        <w:spacing w:line="259" w:lineRule="auto"/>
      </w:pPr>
      <w:r w:rsidRPr="00EC4DBB">
        <w:rPr>
          <w:b/>
          <w:bCs/>
        </w:rPr>
        <w:t xml:space="preserve">Impact sur notre équipe : </w:t>
      </w:r>
      <w:r w:rsidRPr="00EC4DBB">
        <w:t>Bien qu’il y ait quelques augmentations des coûts de marketing et de personnel, l’objectif global est d’assurer la stabilité et de jeter les bases d’une croissance à long terme.</w:t>
      </w:r>
    </w:p>
    <w:p w14:paraId="28774D59" w14:textId="7BD927B8" w:rsidR="003A7AE6" w:rsidRPr="00B43708" w:rsidRDefault="003A7AE6" w:rsidP="003A7AE6">
      <w:pPr>
        <w:numPr>
          <w:ilvl w:val="1"/>
          <w:numId w:val="1"/>
        </w:numPr>
        <w:spacing w:line="259" w:lineRule="auto"/>
      </w:pPr>
      <w:r>
        <w:t>Votre rôle est essentiel dans le maintien de la discipline financière, l’exécution de la stratégie et le positionnement de Colart pour une croissance soutenue.</w:t>
      </w:r>
    </w:p>
    <w:p w14:paraId="42B338A7" w14:textId="77777777" w:rsidR="00B43708" w:rsidRPr="00B43708" w:rsidRDefault="00883E73" w:rsidP="00B43708">
      <w:r>
        <w:pict w14:anchorId="2C6A1F57">
          <v:rect id="_x0000_i1027" style="width:0;height:1.5pt" o:hralign="center" o:hrstd="t" o:hr="t" fillcolor="#a0a0a0" stroked="f"/>
        </w:pict>
      </w:r>
    </w:p>
    <w:p w14:paraId="16CE9232" w14:textId="5284B949" w:rsidR="003A7AE6" w:rsidRPr="003A7AE6" w:rsidRDefault="003A7AE6" w:rsidP="00B43708">
      <w:pPr>
        <w:rPr>
          <w:color w:val="E97132" w:themeColor="accent2"/>
          <w:sz w:val="28"/>
          <w:szCs w:val="28"/>
        </w:rPr>
      </w:pPr>
      <w:r>
        <w:rPr>
          <w:b/>
          <w:bCs/>
          <w:color w:val="E97132" w:themeColor="accent2"/>
          <w:sz w:val="28"/>
          <w:szCs w:val="28"/>
        </w:rPr>
        <w:t>Miami Art Week – Dirigée par Erin Keenan, directrice du marketing grand public</w:t>
      </w:r>
    </w:p>
    <w:p w14:paraId="70912805" w14:textId="2275A884" w:rsidR="00B43708" w:rsidRPr="003A7AE6" w:rsidRDefault="00B43708" w:rsidP="003A7AE6">
      <w:pPr>
        <w:pStyle w:val="ListParagraph"/>
        <w:numPr>
          <w:ilvl w:val="0"/>
          <w:numId w:val="5"/>
        </w:numPr>
        <w:rPr>
          <w:color w:val="156082" w:themeColor="accent1"/>
        </w:rPr>
      </w:pPr>
      <w:r w:rsidRPr="003A7AE6">
        <w:rPr>
          <w:b/>
          <w:bCs/>
          <w:color w:val="156082" w:themeColor="accent1"/>
        </w:rPr>
        <w:t>Aperçus de la Miami Art Week par Erin Keenan</w:t>
      </w:r>
    </w:p>
    <w:p w14:paraId="0BB9415B" w14:textId="77777777" w:rsidR="00B43708" w:rsidRPr="00B43708" w:rsidRDefault="00B43708" w:rsidP="00B43708">
      <w:pPr>
        <w:numPr>
          <w:ilvl w:val="0"/>
          <w:numId w:val="2"/>
        </w:numPr>
      </w:pPr>
      <w:r w:rsidRPr="00B43708">
        <w:rPr>
          <w:b/>
          <w:bCs/>
        </w:rPr>
        <w:t>Impact culturel et engagement envers la marque :</w:t>
      </w:r>
    </w:p>
    <w:p w14:paraId="5D0CE526" w14:textId="253C5774" w:rsidR="00B43708" w:rsidRPr="00B43708" w:rsidRDefault="00B43708" w:rsidP="00B43708">
      <w:pPr>
        <w:numPr>
          <w:ilvl w:val="1"/>
          <w:numId w:val="2"/>
        </w:numPr>
      </w:pPr>
      <w:r w:rsidRPr="00B43708">
        <w:t>Erin a partagé son expérience de participation à la Miami Art Week, soulignant son importance en tant qu'événement culturel et centre de réseautage.</w:t>
      </w:r>
    </w:p>
    <w:p w14:paraId="52BFB945" w14:textId="77777777" w:rsidR="00B43708" w:rsidRPr="00B43708" w:rsidRDefault="00B43708" w:rsidP="00B43708">
      <w:pPr>
        <w:numPr>
          <w:ilvl w:val="1"/>
          <w:numId w:val="2"/>
        </w:numPr>
      </w:pPr>
      <w:r w:rsidRPr="00B43708">
        <w:t>Elle a participé à Art Basel et à Design Miami, où de grandes marques, telles que Lufthansa et Land Rover, étaient présentes, même si Erin a trouvé que le lien entre l'art et ces marques manquait quelque peu d'authenticité.</w:t>
      </w:r>
    </w:p>
    <w:p w14:paraId="20337D6F" w14:textId="77777777" w:rsidR="00B43708" w:rsidRPr="00B43708" w:rsidRDefault="00B43708" w:rsidP="00B43708">
      <w:pPr>
        <w:numPr>
          <w:ilvl w:val="1"/>
          <w:numId w:val="2"/>
        </w:numPr>
      </w:pPr>
      <w:r w:rsidRPr="00B43708">
        <w:t xml:space="preserve">Les opportunités les plus significatives pour l'entreprise se sont présentées lors d'événements satellites plus petits, comme Aqua Art Miami, où les marques </w:t>
      </w:r>
      <w:r w:rsidRPr="00B43708">
        <w:lastRenderedPageBreak/>
        <w:t>pouvaient s'engager de manière plus authentique avec les artistes et la communauté artistique.</w:t>
      </w:r>
    </w:p>
    <w:p w14:paraId="725FDE58" w14:textId="77777777" w:rsidR="00B43708" w:rsidRPr="00B43708" w:rsidRDefault="00B43708" w:rsidP="00B43708">
      <w:pPr>
        <w:numPr>
          <w:ilvl w:val="0"/>
          <w:numId w:val="2"/>
        </w:numPr>
      </w:pPr>
      <w:r w:rsidRPr="00B43708">
        <w:rPr>
          <w:b/>
          <w:bCs/>
        </w:rPr>
        <w:t>Opportunités de partenariat :</w:t>
      </w:r>
    </w:p>
    <w:p w14:paraId="62E1B9B2" w14:textId="77777777" w:rsidR="00B43708" w:rsidRPr="00B43708" w:rsidRDefault="00B43708" w:rsidP="00B43708">
      <w:pPr>
        <w:numPr>
          <w:ilvl w:val="1"/>
          <w:numId w:val="2"/>
        </w:numPr>
      </w:pPr>
      <w:r w:rsidRPr="00B43708">
        <w:t>Erin a souligné le potentiel de partenariats avec des artistes comme Ashley Longshore, ce qui pourrait conduire à des collaborations passionnantes, en particulier pour des produits comme Liquitex.</w:t>
      </w:r>
    </w:p>
    <w:p w14:paraId="089DD8E1" w14:textId="1FD97768" w:rsidR="00B43708" w:rsidRPr="00B43708" w:rsidRDefault="00B43708" w:rsidP="00B43708">
      <w:pPr>
        <w:numPr>
          <w:ilvl w:val="1"/>
          <w:numId w:val="2"/>
        </w:numPr>
      </w:pPr>
      <w:r w:rsidRPr="00B43708">
        <w:t>Elle a souligné l’importance de construire des relations authentiques et de tirer parti d’événements comme la Miami Art Week pour maintenir l’entreprise connectée au monde de l’art.</w:t>
      </w:r>
    </w:p>
    <w:p w14:paraId="2A95E2D7" w14:textId="77777777" w:rsidR="00B43708" w:rsidRPr="00B43708" w:rsidRDefault="00883E73" w:rsidP="00B43708">
      <w:r>
        <w:pict w14:anchorId="7E411DAD">
          <v:rect id="_x0000_i1028" style="width:0;height:1.5pt" o:hralign="center" o:hrstd="t" o:hr="t" fillcolor="#a0a0a0" stroked="f"/>
        </w:pict>
      </w:r>
    </w:p>
    <w:p w14:paraId="532C274C" w14:textId="7050C51A" w:rsidR="00B43708" w:rsidRPr="003A7AE6" w:rsidRDefault="00B43708" w:rsidP="003A7AE6">
      <w:pPr>
        <w:pStyle w:val="ListParagraph"/>
        <w:numPr>
          <w:ilvl w:val="0"/>
          <w:numId w:val="5"/>
        </w:numPr>
        <w:rPr>
          <w:b/>
          <w:bCs/>
          <w:color w:val="156082" w:themeColor="accent1"/>
        </w:rPr>
      </w:pPr>
      <w:r w:rsidRPr="003A7AE6">
        <w:rPr>
          <w:b/>
          <w:bCs/>
          <w:color w:val="156082" w:themeColor="accent1"/>
        </w:rPr>
        <w:t>Principaux points à retenir</w:t>
      </w:r>
    </w:p>
    <w:p w14:paraId="0C8B694E" w14:textId="77777777" w:rsidR="00B43708" w:rsidRPr="00B43708" w:rsidRDefault="00B43708" w:rsidP="00B43708">
      <w:pPr>
        <w:numPr>
          <w:ilvl w:val="0"/>
          <w:numId w:val="3"/>
        </w:numPr>
      </w:pPr>
      <w:r w:rsidRPr="00B43708">
        <w:rPr>
          <w:b/>
          <w:bCs/>
        </w:rPr>
        <w:t>Engagement de la marque :</w:t>
      </w:r>
    </w:p>
    <w:p w14:paraId="27F60901" w14:textId="39762588" w:rsidR="003A7AE6" w:rsidRPr="00B43708" w:rsidRDefault="00B43708" w:rsidP="003A7AE6">
      <w:pPr>
        <w:numPr>
          <w:ilvl w:val="1"/>
          <w:numId w:val="3"/>
        </w:numPr>
      </w:pPr>
      <w:r w:rsidRPr="00B43708">
        <w:t>Assistez et restez curieux des événements majeurs tels que les salons professionnels et les foires d'art pour établir des relations avec les principaux acteurs de l'industrie et capitaliser sur les tendances émergentes.</w:t>
      </w:r>
    </w:p>
    <w:p w14:paraId="3088F028" w14:textId="77777777" w:rsidR="00B43708" w:rsidRPr="00B43708" w:rsidRDefault="00B43708" w:rsidP="00B43708">
      <w:pPr>
        <w:numPr>
          <w:ilvl w:val="1"/>
          <w:numId w:val="3"/>
        </w:numPr>
      </w:pPr>
      <w:r w:rsidRPr="00B43708">
        <w:t>Continuer d’explorer des moyens significatifs de se connecter à l’art et à l’innovation, en veillant à ce que la présence de l’entreprise à ces événements soit authentique et trouve un écho auprès du public.</w:t>
      </w:r>
    </w:p>
    <w:p w14:paraId="4097C8E9" w14:textId="5710C583" w:rsidR="003137C7" w:rsidRDefault="00883E73">
      <w:r>
        <w:pict w14:anchorId="231C6438">
          <v:rect id="_x0000_i1029" style="width:0;height:1.5pt" o:hralign="center" o:hrstd="t" o:hr="t" fillcolor="#a0a0a0" stroked="f"/>
        </w:pict>
      </w:r>
    </w:p>
    <w:sectPr w:rsidR="003137C7" w:rsidSect="00B4370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D1E"/>
    <w:multiLevelType w:val="multilevel"/>
    <w:tmpl w:val="DE586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70FDF"/>
    <w:multiLevelType w:val="multilevel"/>
    <w:tmpl w:val="3884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B459D"/>
    <w:multiLevelType w:val="hybridMultilevel"/>
    <w:tmpl w:val="964A0C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C850E5"/>
    <w:multiLevelType w:val="multilevel"/>
    <w:tmpl w:val="4B6A8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D33E3"/>
    <w:multiLevelType w:val="multilevel"/>
    <w:tmpl w:val="9B0A7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E3324"/>
    <w:multiLevelType w:val="multilevel"/>
    <w:tmpl w:val="69D0D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A7F53"/>
    <w:multiLevelType w:val="multilevel"/>
    <w:tmpl w:val="BE182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E15DA2"/>
    <w:multiLevelType w:val="hybridMultilevel"/>
    <w:tmpl w:val="3C2E05CA"/>
    <w:lvl w:ilvl="0" w:tplc="56AEE3C8">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53278FB"/>
    <w:multiLevelType w:val="multilevel"/>
    <w:tmpl w:val="73D2C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0665214">
    <w:abstractNumId w:val="0"/>
  </w:num>
  <w:num w:numId="2" w16cid:durableId="43262348">
    <w:abstractNumId w:val="6"/>
  </w:num>
  <w:num w:numId="3" w16cid:durableId="1136291597">
    <w:abstractNumId w:val="5"/>
  </w:num>
  <w:num w:numId="4" w16cid:durableId="1373457669">
    <w:abstractNumId w:val="1"/>
  </w:num>
  <w:num w:numId="5" w16cid:durableId="285046363">
    <w:abstractNumId w:val="7"/>
  </w:num>
  <w:num w:numId="6" w16cid:durableId="338582016">
    <w:abstractNumId w:val="4"/>
  </w:num>
  <w:num w:numId="7" w16cid:durableId="138155639">
    <w:abstractNumId w:val="2"/>
  </w:num>
  <w:num w:numId="8" w16cid:durableId="1445731542">
    <w:abstractNumId w:val="3"/>
  </w:num>
  <w:num w:numId="9" w16cid:durableId="4355583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08"/>
    <w:rsid w:val="001A642A"/>
    <w:rsid w:val="003137C7"/>
    <w:rsid w:val="003A7AE6"/>
    <w:rsid w:val="005F457F"/>
    <w:rsid w:val="00883E73"/>
    <w:rsid w:val="00B43708"/>
    <w:rsid w:val="00D31A0D"/>
    <w:rsid w:val="00FC1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41A4511"/>
  <w15:chartTrackingRefBased/>
  <w15:docId w15:val="{C2B40663-C6F5-473F-872A-0911CFCF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708"/>
    <w:rPr>
      <w:rFonts w:eastAsiaTheme="majorEastAsia" w:cstheme="majorBidi"/>
      <w:color w:val="272727" w:themeColor="text1" w:themeTint="D8"/>
    </w:rPr>
  </w:style>
  <w:style w:type="paragraph" w:styleId="Title">
    <w:name w:val="Title"/>
    <w:basedOn w:val="Normal"/>
    <w:next w:val="Normal"/>
    <w:link w:val="TitleChar"/>
    <w:uiPriority w:val="10"/>
    <w:qFormat/>
    <w:rsid w:val="00B43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708"/>
    <w:pPr>
      <w:spacing w:before="160"/>
      <w:jc w:val="center"/>
    </w:pPr>
    <w:rPr>
      <w:i/>
      <w:iCs/>
      <w:color w:val="404040" w:themeColor="text1" w:themeTint="BF"/>
    </w:rPr>
  </w:style>
  <w:style w:type="character" w:customStyle="1" w:styleId="QuoteChar">
    <w:name w:val="Quote Char"/>
    <w:basedOn w:val="DefaultParagraphFont"/>
    <w:link w:val="Quote"/>
    <w:uiPriority w:val="29"/>
    <w:rsid w:val="00B43708"/>
    <w:rPr>
      <w:i/>
      <w:iCs/>
      <w:color w:val="404040" w:themeColor="text1" w:themeTint="BF"/>
    </w:rPr>
  </w:style>
  <w:style w:type="paragraph" w:styleId="ListParagraph">
    <w:name w:val="List Paragraph"/>
    <w:basedOn w:val="Normal"/>
    <w:uiPriority w:val="34"/>
    <w:qFormat/>
    <w:rsid w:val="00B43708"/>
    <w:pPr>
      <w:ind w:left="720"/>
      <w:contextualSpacing/>
    </w:pPr>
  </w:style>
  <w:style w:type="character" w:styleId="IntenseEmphasis">
    <w:name w:val="Intense Emphasis"/>
    <w:basedOn w:val="DefaultParagraphFont"/>
    <w:uiPriority w:val="21"/>
    <w:qFormat/>
    <w:rsid w:val="00B43708"/>
    <w:rPr>
      <w:i/>
      <w:iCs/>
      <w:color w:val="0F4761" w:themeColor="accent1" w:themeShade="BF"/>
    </w:rPr>
  </w:style>
  <w:style w:type="paragraph" w:styleId="IntenseQuote">
    <w:name w:val="Intense Quote"/>
    <w:basedOn w:val="Normal"/>
    <w:next w:val="Normal"/>
    <w:link w:val="IntenseQuoteChar"/>
    <w:uiPriority w:val="30"/>
    <w:qFormat/>
    <w:rsid w:val="00B43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708"/>
    <w:rPr>
      <w:i/>
      <w:iCs/>
      <w:color w:val="0F4761" w:themeColor="accent1" w:themeShade="BF"/>
    </w:rPr>
  </w:style>
  <w:style w:type="character" w:styleId="IntenseReference">
    <w:name w:val="Intense Reference"/>
    <w:basedOn w:val="DefaultParagraphFont"/>
    <w:uiPriority w:val="32"/>
    <w:qFormat/>
    <w:rsid w:val="00B437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7080">
      <w:bodyDiv w:val="1"/>
      <w:marLeft w:val="0"/>
      <w:marRight w:val="0"/>
      <w:marTop w:val="0"/>
      <w:marBottom w:val="0"/>
      <w:divBdr>
        <w:top w:val="none" w:sz="0" w:space="0" w:color="auto"/>
        <w:left w:val="none" w:sz="0" w:space="0" w:color="auto"/>
        <w:bottom w:val="none" w:sz="0" w:space="0" w:color="auto"/>
        <w:right w:val="none" w:sz="0" w:space="0" w:color="auto"/>
      </w:divBdr>
    </w:div>
    <w:div w:id="46658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Selby</dc:creator>
  <cp:keywords/>
  <dc:description/>
  <cp:lastModifiedBy>Eleanor Selby</cp:lastModifiedBy>
  <cp:revision>2</cp:revision>
  <dcterms:created xsi:type="dcterms:W3CDTF">2025-01-28T13:08:00Z</dcterms:created>
  <dcterms:modified xsi:type="dcterms:W3CDTF">2025-01-28T13:08:00Z</dcterms:modified>
</cp:coreProperties>
</file>