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E74B" w14:textId="578377EC" w:rsidR="00D95FA0" w:rsidRPr="004716EA" w:rsidRDefault="00625EC9" w:rsidP="004716EA">
      <w:pPr>
        <w:rPr>
          <w:rFonts w:ascii="Arial" w:hAnsi="Arial" w:cs="Arial"/>
          <w:b/>
          <w:bCs/>
          <w:sz w:val="40"/>
          <w:szCs w:val="40"/>
        </w:rPr>
      </w:pPr>
      <w:r>
        <w:rPr>
          <w:rFonts w:ascii="Arial" w:hAnsi="Arial" w:cs="Arial"/>
          <w:b/>
          <w:bCs/>
          <w:sz w:val="40"/>
          <w:szCs w:val="40"/>
        </w:rPr>
        <w:t>OCCUPATION</w:t>
      </w:r>
      <w:r w:rsidR="00F53CB3">
        <w:rPr>
          <w:rFonts w:ascii="Arial" w:hAnsi="Arial" w:cs="Arial"/>
          <w:b/>
          <w:bCs/>
          <w:sz w:val="40"/>
          <w:szCs w:val="40"/>
        </w:rPr>
        <w:t>AL</w:t>
      </w:r>
      <w:r>
        <w:rPr>
          <w:rFonts w:ascii="Arial" w:hAnsi="Arial" w:cs="Arial"/>
          <w:b/>
          <w:bCs/>
          <w:sz w:val="40"/>
          <w:szCs w:val="40"/>
        </w:rPr>
        <w:t xml:space="preserve"> HEALTH POLICY</w:t>
      </w:r>
    </w:p>
    <w:p w14:paraId="2F76FEEA" w14:textId="63AA0B2F" w:rsidR="00D26D82" w:rsidRPr="00625EC9" w:rsidRDefault="0057146F" w:rsidP="00625EC9">
      <w:pPr>
        <w:pStyle w:val="ListParagraph"/>
        <w:numPr>
          <w:ilvl w:val="0"/>
          <w:numId w:val="5"/>
        </w:numPr>
        <w:spacing w:before="60" w:after="60" w:line="264" w:lineRule="auto"/>
        <w:ind w:left="284" w:hanging="284"/>
        <w:rPr>
          <w:rFonts w:ascii="Arial" w:hAnsi="Arial" w:cs="Arial"/>
          <w:b/>
          <w:bCs/>
          <w:sz w:val="24"/>
          <w:szCs w:val="24"/>
        </w:rPr>
      </w:pPr>
      <w:r w:rsidRPr="00D26D82">
        <w:rPr>
          <w:rFonts w:ascii="Arial" w:hAnsi="Arial" w:cs="Arial"/>
          <w:b/>
          <w:bCs/>
          <w:noProof/>
          <w:sz w:val="24"/>
          <w:szCs w:val="24"/>
        </w:rPr>
        <w:drawing>
          <wp:anchor distT="0" distB="0" distL="114300" distR="114300" simplePos="0" relativeHeight="251658240" behindDoc="1" locked="0" layoutInCell="1" allowOverlap="1" wp14:anchorId="488D4361" wp14:editId="2226195E">
            <wp:simplePos x="0" y="0"/>
            <wp:positionH relativeFrom="page">
              <wp:posOffset>19050</wp:posOffset>
            </wp:positionH>
            <wp:positionV relativeFrom="page">
              <wp:posOffset>12700</wp:posOffset>
            </wp:positionV>
            <wp:extent cx="7518400" cy="1828800"/>
            <wp:effectExtent l="0" t="0" r="6350" b="0"/>
            <wp:wrapTight wrapText="bothSides">
              <wp:wrapPolygon edited="0">
                <wp:start x="0" y="0"/>
                <wp:lineTo x="0" y="21375"/>
                <wp:lineTo x="21564" y="21375"/>
                <wp:lineTo x="21564" y="0"/>
                <wp:lineTo x="0" y="0"/>
              </wp:wrapPolygon>
            </wp:wrapTight>
            <wp:docPr id="402996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0770" r="496" b="2262"/>
                    <a:stretch/>
                  </pic:blipFill>
                  <pic:spPr bwMode="auto">
                    <a:xfrm>
                      <a:off x="0" y="0"/>
                      <a:ext cx="751840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5EC9">
        <w:rPr>
          <w:rFonts w:ascii="Arial" w:hAnsi="Arial" w:cs="Arial"/>
          <w:b/>
          <w:bCs/>
          <w:noProof/>
          <w:sz w:val="24"/>
          <w:szCs w:val="24"/>
        </w:rPr>
        <w:t>Purpose</w:t>
      </w:r>
    </w:p>
    <w:p w14:paraId="13696ADB" w14:textId="77777777" w:rsidR="00531236" w:rsidRDefault="00625EC9" w:rsidP="00531236">
      <w:pPr>
        <w:pStyle w:val="ListParagraph"/>
        <w:spacing w:before="60" w:after="60" w:line="264" w:lineRule="auto"/>
        <w:ind w:left="284"/>
        <w:jc w:val="both"/>
        <w:rPr>
          <w:rFonts w:ascii="Arial" w:hAnsi="Arial" w:cs="Arial"/>
        </w:rPr>
      </w:pPr>
      <w:r w:rsidRPr="00625EC9">
        <w:rPr>
          <w:rFonts w:ascii="Arial" w:hAnsi="Arial" w:cs="Arial"/>
        </w:rPr>
        <w:t xml:space="preserve">The purpose of this </w:t>
      </w:r>
      <w:r w:rsidRPr="00710269">
        <w:rPr>
          <w:rFonts w:ascii="Arial" w:hAnsi="Arial" w:cs="Arial"/>
          <w:b/>
          <w:bCs/>
        </w:rPr>
        <w:t>Occupational Health</w:t>
      </w:r>
      <w:r w:rsidR="00710269" w:rsidRPr="00710269">
        <w:rPr>
          <w:rFonts w:ascii="Arial" w:hAnsi="Arial" w:cs="Arial"/>
          <w:b/>
          <w:bCs/>
        </w:rPr>
        <w:t xml:space="preserve"> (OH)</w:t>
      </w:r>
      <w:r w:rsidRPr="00625EC9">
        <w:rPr>
          <w:rFonts w:ascii="Arial" w:hAnsi="Arial" w:cs="Arial"/>
        </w:rPr>
        <w:t xml:space="preserve"> Policy is to ensure the health, safety, and well-being of all employees within the organi</w:t>
      </w:r>
      <w:r>
        <w:rPr>
          <w:rFonts w:ascii="Arial" w:hAnsi="Arial" w:cs="Arial"/>
        </w:rPr>
        <w:t>s</w:t>
      </w:r>
      <w:r w:rsidRPr="00625EC9">
        <w:rPr>
          <w:rFonts w:ascii="Arial" w:hAnsi="Arial" w:cs="Arial"/>
        </w:rPr>
        <w:t>ation. This policy aims to create a work environment that prioriti</w:t>
      </w:r>
      <w:r>
        <w:rPr>
          <w:rFonts w:ascii="Arial" w:hAnsi="Arial" w:cs="Arial"/>
        </w:rPr>
        <w:t>s</w:t>
      </w:r>
      <w:r w:rsidRPr="00625EC9">
        <w:rPr>
          <w:rFonts w:ascii="Arial" w:hAnsi="Arial" w:cs="Arial"/>
        </w:rPr>
        <w:t xml:space="preserve">es the physical and mental health of employees, reduces the incidence of work-related injuries and illnesses, and promotes healthy workplace practices. </w:t>
      </w:r>
    </w:p>
    <w:p w14:paraId="65CE59BF" w14:textId="77777777" w:rsidR="00531236" w:rsidRDefault="00531236" w:rsidP="00531236">
      <w:pPr>
        <w:pStyle w:val="ListParagraph"/>
        <w:spacing w:before="60" w:after="60" w:line="264" w:lineRule="auto"/>
        <w:ind w:left="284"/>
        <w:jc w:val="both"/>
        <w:rPr>
          <w:rFonts w:ascii="Arial" w:hAnsi="Arial" w:cs="Arial"/>
        </w:rPr>
      </w:pPr>
    </w:p>
    <w:p w14:paraId="40356245" w14:textId="6DD10DF0" w:rsidR="00625EC9" w:rsidRPr="00531236" w:rsidRDefault="00531236" w:rsidP="00531236">
      <w:pPr>
        <w:pStyle w:val="ListParagraph"/>
        <w:spacing w:before="60" w:after="60" w:line="264" w:lineRule="auto"/>
        <w:ind w:left="284"/>
        <w:jc w:val="both"/>
        <w:rPr>
          <w:rFonts w:ascii="Arial" w:hAnsi="Arial" w:cs="Arial"/>
        </w:rPr>
      </w:pPr>
      <w:r w:rsidRPr="00531236">
        <w:rPr>
          <w:rFonts w:ascii="Arial" w:hAnsi="Arial" w:cs="Arial"/>
        </w:rPr>
        <w:t>Optima Health</w:t>
      </w:r>
      <w:r>
        <w:rPr>
          <w:rFonts w:ascii="Arial" w:hAnsi="Arial" w:cs="Arial"/>
        </w:rPr>
        <w:t xml:space="preserve"> are our occupational health provider. </w:t>
      </w:r>
    </w:p>
    <w:p w14:paraId="4365B29D" w14:textId="77777777" w:rsidR="00A9035F" w:rsidRDefault="00A9035F" w:rsidP="00625EC9">
      <w:pPr>
        <w:pStyle w:val="ListParagraph"/>
        <w:spacing w:before="60" w:after="60" w:line="264" w:lineRule="auto"/>
        <w:ind w:left="284"/>
        <w:jc w:val="both"/>
        <w:rPr>
          <w:rFonts w:ascii="Arial" w:hAnsi="Arial" w:cs="Arial"/>
        </w:rPr>
      </w:pPr>
    </w:p>
    <w:p w14:paraId="3BCA38F3" w14:textId="77777777" w:rsidR="00A9035F" w:rsidRPr="00CC66AB" w:rsidRDefault="00A9035F" w:rsidP="00A9035F">
      <w:pPr>
        <w:spacing w:after="0" w:line="264" w:lineRule="auto"/>
        <w:ind w:left="284"/>
        <w:jc w:val="both"/>
        <w:rPr>
          <w:rFonts w:ascii="Arial" w:hAnsi="Arial" w:cs="Arial"/>
        </w:rPr>
      </w:pPr>
      <w:r w:rsidRPr="00CC66AB">
        <w:rPr>
          <w:rFonts w:ascii="Arial" w:hAnsi="Arial" w:cs="Arial"/>
        </w:rPr>
        <w:t>This policy does not form part of your terms and conditions of employment and may be subject to change at our discretion.</w:t>
      </w:r>
    </w:p>
    <w:p w14:paraId="4C09B652" w14:textId="77777777" w:rsidR="004716EA" w:rsidRPr="00625EC9" w:rsidRDefault="004716EA" w:rsidP="00625EC9">
      <w:pPr>
        <w:pStyle w:val="ListParagraph"/>
        <w:spacing w:before="60" w:after="60" w:line="264" w:lineRule="auto"/>
        <w:ind w:left="284"/>
        <w:jc w:val="both"/>
        <w:rPr>
          <w:rFonts w:ascii="Arial" w:hAnsi="Arial" w:cs="Arial"/>
        </w:rPr>
      </w:pPr>
    </w:p>
    <w:p w14:paraId="2B500B16" w14:textId="33955B26" w:rsidR="00D26D82" w:rsidRDefault="00D26D82" w:rsidP="00D26D82">
      <w:pPr>
        <w:pStyle w:val="ListParagraph"/>
        <w:numPr>
          <w:ilvl w:val="0"/>
          <w:numId w:val="5"/>
        </w:numPr>
        <w:spacing w:before="60" w:after="60" w:line="264" w:lineRule="auto"/>
        <w:ind w:left="284" w:hanging="284"/>
        <w:rPr>
          <w:rFonts w:ascii="Arial" w:hAnsi="Arial" w:cs="Arial"/>
          <w:b/>
          <w:bCs/>
          <w:sz w:val="24"/>
          <w:szCs w:val="24"/>
        </w:rPr>
      </w:pPr>
      <w:r w:rsidRPr="00D26D82">
        <w:rPr>
          <w:rFonts w:ascii="Arial" w:hAnsi="Arial" w:cs="Arial"/>
          <w:b/>
          <w:bCs/>
          <w:sz w:val="24"/>
          <w:szCs w:val="24"/>
        </w:rPr>
        <w:t>Scope</w:t>
      </w:r>
    </w:p>
    <w:p w14:paraId="42E445F2" w14:textId="4A5C3AAB" w:rsidR="00625EC9" w:rsidRDefault="00625EC9" w:rsidP="00625EC9">
      <w:pPr>
        <w:spacing w:before="60" w:after="60" w:line="264" w:lineRule="auto"/>
        <w:ind w:left="284"/>
        <w:jc w:val="both"/>
        <w:rPr>
          <w:rFonts w:ascii="Arial" w:hAnsi="Arial" w:cs="Arial"/>
        </w:rPr>
      </w:pPr>
      <w:r w:rsidRPr="00625EC9">
        <w:rPr>
          <w:rFonts w:ascii="Arial" w:hAnsi="Arial" w:cs="Arial"/>
        </w:rPr>
        <w:t>This Policy applies to all Colart employees based in the UK including full-time, part-time, temporary staff and potential employees. It covers all activities and processes related to work functions, including, but not limited to, workplace layout and equipment, organi</w:t>
      </w:r>
      <w:r>
        <w:rPr>
          <w:rFonts w:ascii="Arial" w:hAnsi="Arial" w:cs="Arial"/>
        </w:rPr>
        <w:t>s</w:t>
      </w:r>
      <w:r w:rsidRPr="00625EC9">
        <w:rPr>
          <w:rFonts w:ascii="Arial" w:hAnsi="Arial" w:cs="Arial"/>
        </w:rPr>
        <w:t>ational practices, and any health-related programs or initiatives. The scope encompasses:</w:t>
      </w:r>
    </w:p>
    <w:p w14:paraId="024EC976" w14:textId="77777777" w:rsidR="00531236" w:rsidRPr="00531236" w:rsidRDefault="00531236" w:rsidP="00531236">
      <w:pPr>
        <w:spacing w:before="60" w:after="60" w:line="264" w:lineRule="auto"/>
        <w:jc w:val="both"/>
        <w:rPr>
          <w:rFonts w:ascii="Arial" w:hAnsi="Arial" w:cs="Arial"/>
        </w:rPr>
      </w:pPr>
    </w:p>
    <w:p w14:paraId="582A3387" w14:textId="77777777" w:rsidR="00531236" w:rsidRDefault="00531236" w:rsidP="00625EC9">
      <w:pPr>
        <w:pStyle w:val="ListParagraph"/>
        <w:numPr>
          <w:ilvl w:val="0"/>
          <w:numId w:val="6"/>
        </w:numPr>
        <w:spacing w:before="60" w:after="60" w:line="264" w:lineRule="auto"/>
        <w:jc w:val="both"/>
        <w:rPr>
          <w:rFonts w:ascii="Arial" w:hAnsi="Arial" w:cs="Arial"/>
        </w:rPr>
      </w:pPr>
      <w:r>
        <w:rPr>
          <w:rFonts w:ascii="Arial" w:hAnsi="Arial" w:cs="Arial"/>
        </w:rPr>
        <w:t>Management of absences</w:t>
      </w:r>
    </w:p>
    <w:p w14:paraId="795524B0" w14:textId="1E7A62BA" w:rsidR="00625EC9" w:rsidRPr="00625EC9" w:rsidRDefault="00625EC9" w:rsidP="00625EC9">
      <w:pPr>
        <w:pStyle w:val="ListParagraph"/>
        <w:numPr>
          <w:ilvl w:val="0"/>
          <w:numId w:val="6"/>
        </w:numPr>
        <w:spacing w:before="60" w:after="60" w:line="264" w:lineRule="auto"/>
        <w:jc w:val="both"/>
        <w:rPr>
          <w:rFonts w:ascii="Arial" w:hAnsi="Arial" w:cs="Arial"/>
        </w:rPr>
      </w:pPr>
      <w:r w:rsidRPr="00625EC9">
        <w:rPr>
          <w:rFonts w:ascii="Arial" w:hAnsi="Arial" w:cs="Arial"/>
        </w:rPr>
        <w:t>Identification and assessment of workplace hazards.</w:t>
      </w:r>
    </w:p>
    <w:p w14:paraId="1C347C9C" w14:textId="77777777" w:rsidR="00625EC9" w:rsidRDefault="00625EC9" w:rsidP="00625EC9">
      <w:pPr>
        <w:pStyle w:val="ListParagraph"/>
        <w:numPr>
          <w:ilvl w:val="0"/>
          <w:numId w:val="6"/>
        </w:numPr>
        <w:spacing w:before="60" w:after="60" w:line="264" w:lineRule="auto"/>
        <w:jc w:val="both"/>
        <w:rPr>
          <w:rFonts w:ascii="Arial" w:hAnsi="Arial" w:cs="Arial"/>
        </w:rPr>
      </w:pPr>
      <w:r w:rsidRPr="00625EC9">
        <w:rPr>
          <w:rFonts w:ascii="Arial" w:hAnsi="Arial" w:cs="Arial"/>
        </w:rPr>
        <w:t>Implementation of preventive measures to manage identified risks.</w:t>
      </w:r>
    </w:p>
    <w:p w14:paraId="168B2D1B" w14:textId="420A3232" w:rsidR="00625EC9" w:rsidRPr="00625EC9" w:rsidRDefault="00625EC9" w:rsidP="00625EC9">
      <w:pPr>
        <w:pStyle w:val="ListParagraph"/>
        <w:numPr>
          <w:ilvl w:val="0"/>
          <w:numId w:val="6"/>
        </w:numPr>
        <w:spacing w:before="60" w:after="60" w:line="264" w:lineRule="auto"/>
        <w:jc w:val="both"/>
        <w:rPr>
          <w:rFonts w:ascii="Arial" w:hAnsi="Arial" w:cs="Arial"/>
        </w:rPr>
      </w:pPr>
      <w:r w:rsidRPr="00625EC9">
        <w:rPr>
          <w:rFonts w:ascii="Arial" w:hAnsi="Arial" w:cs="Arial"/>
        </w:rPr>
        <w:t>Support for employees’ physical and mental health needs.</w:t>
      </w:r>
    </w:p>
    <w:p w14:paraId="6E4D2041" w14:textId="77777777" w:rsidR="00710269" w:rsidRDefault="00710269" w:rsidP="00710269">
      <w:pPr>
        <w:pStyle w:val="ListParagraph"/>
        <w:spacing w:before="60" w:after="60" w:line="264" w:lineRule="auto"/>
        <w:ind w:left="1004"/>
        <w:jc w:val="both"/>
        <w:rPr>
          <w:rFonts w:ascii="Arial" w:hAnsi="Arial" w:cs="Arial"/>
        </w:rPr>
      </w:pPr>
    </w:p>
    <w:p w14:paraId="63D25438" w14:textId="3DDBCA66" w:rsidR="00710269" w:rsidRPr="00710269" w:rsidRDefault="00710269" w:rsidP="00710269">
      <w:pPr>
        <w:pStyle w:val="ListParagraph"/>
        <w:numPr>
          <w:ilvl w:val="0"/>
          <w:numId w:val="5"/>
        </w:numPr>
        <w:spacing w:before="60" w:after="60" w:line="264" w:lineRule="auto"/>
        <w:jc w:val="both"/>
        <w:rPr>
          <w:rFonts w:ascii="Arial" w:hAnsi="Arial" w:cs="Arial"/>
          <w:b/>
          <w:bCs/>
        </w:rPr>
      </w:pPr>
      <w:r w:rsidRPr="00710269">
        <w:rPr>
          <w:rFonts w:ascii="Arial" w:hAnsi="Arial" w:cs="Arial"/>
          <w:b/>
          <w:bCs/>
        </w:rPr>
        <w:t xml:space="preserve">OH Referrals </w:t>
      </w:r>
    </w:p>
    <w:p w14:paraId="377215FD" w14:textId="77777777" w:rsidR="00EB531D" w:rsidRDefault="00710269" w:rsidP="00710269">
      <w:pPr>
        <w:pStyle w:val="ListParagraph"/>
        <w:spacing w:before="60" w:after="60" w:line="264" w:lineRule="auto"/>
        <w:ind w:left="360"/>
        <w:jc w:val="both"/>
        <w:rPr>
          <w:rFonts w:ascii="Arial" w:hAnsi="Arial" w:cs="Arial"/>
        </w:rPr>
      </w:pPr>
      <w:r w:rsidRPr="00710269">
        <w:rPr>
          <w:rFonts w:ascii="Arial" w:hAnsi="Arial" w:cs="Arial"/>
        </w:rPr>
        <w:t xml:space="preserve">The aim of an OH </w:t>
      </w:r>
      <w:r>
        <w:rPr>
          <w:rFonts w:ascii="Arial" w:hAnsi="Arial" w:cs="Arial"/>
        </w:rPr>
        <w:t>referral</w:t>
      </w:r>
      <w:r w:rsidRPr="00710269">
        <w:rPr>
          <w:rFonts w:ascii="Arial" w:hAnsi="Arial" w:cs="Arial"/>
        </w:rPr>
        <w:t xml:space="preserve"> is to find out how best we can support you at work, and to see if there are any </w:t>
      </w:r>
      <w:r>
        <w:rPr>
          <w:rFonts w:ascii="Arial" w:hAnsi="Arial" w:cs="Arial"/>
        </w:rPr>
        <w:t xml:space="preserve">reasonable </w:t>
      </w:r>
      <w:r w:rsidRPr="00710269">
        <w:rPr>
          <w:rFonts w:ascii="Arial" w:hAnsi="Arial" w:cs="Arial"/>
        </w:rPr>
        <w:t>adjustments we need to consider for you. OH,</w:t>
      </w:r>
      <w:r>
        <w:rPr>
          <w:rFonts w:ascii="Arial" w:hAnsi="Arial" w:cs="Arial"/>
        </w:rPr>
        <w:t xml:space="preserve"> referral</w:t>
      </w:r>
      <w:r w:rsidRPr="00710269">
        <w:rPr>
          <w:rFonts w:ascii="Arial" w:hAnsi="Arial" w:cs="Arial"/>
        </w:rPr>
        <w:t xml:space="preserve"> will provide a report to you and the HR team</w:t>
      </w:r>
      <w:r>
        <w:rPr>
          <w:rFonts w:ascii="Arial" w:hAnsi="Arial" w:cs="Arial"/>
        </w:rPr>
        <w:t xml:space="preserve"> which will be discussed with your manager</w:t>
      </w:r>
      <w:r w:rsidRPr="00710269">
        <w:rPr>
          <w:rFonts w:ascii="Arial" w:hAnsi="Arial" w:cs="Arial"/>
        </w:rPr>
        <w:t>.</w:t>
      </w:r>
      <w:r w:rsidR="00EB531D">
        <w:rPr>
          <w:rFonts w:ascii="Arial" w:hAnsi="Arial" w:cs="Arial"/>
        </w:rPr>
        <w:t xml:space="preserve"> </w:t>
      </w:r>
    </w:p>
    <w:p w14:paraId="72A5B98C" w14:textId="77777777" w:rsidR="00EB531D" w:rsidRDefault="00EB531D" w:rsidP="00710269">
      <w:pPr>
        <w:pStyle w:val="ListParagraph"/>
        <w:spacing w:before="60" w:after="60" w:line="264" w:lineRule="auto"/>
        <w:ind w:left="360"/>
        <w:jc w:val="both"/>
        <w:rPr>
          <w:rFonts w:ascii="Arial" w:hAnsi="Arial" w:cs="Arial"/>
        </w:rPr>
      </w:pPr>
    </w:p>
    <w:p w14:paraId="4B0A6DC1" w14:textId="37EEC3AE" w:rsidR="00710269" w:rsidRPr="00710269" w:rsidRDefault="00EB531D" w:rsidP="00710269">
      <w:pPr>
        <w:pStyle w:val="ListParagraph"/>
        <w:spacing w:before="60" w:after="60" w:line="264" w:lineRule="auto"/>
        <w:ind w:left="360"/>
        <w:jc w:val="both"/>
        <w:rPr>
          <w:rFonts w:ascii="Arial" w:hAnsi="Arial" w:cs="Arial"/>
        </w:rPr>
      </w:pPr>
      <w:r>
        <w:rPr>
          <w:rFonts w:ascii="Arial" w:hAnsi="Arial" w:cs="Arial"/>
        </w:rPr>
        <w:t xml:space="preserve">For Colart to make a referral </w:t>
      </w:r>
      <w:r w:rsidRPr="00EB531D">
        <w:rPr>
          <w:rFonts w:ascii="Arial" w:hAnsi="Arial" w:cs="Arial"/>
        </w:rPr>
        <w:t>in line with the Medical Records Act 1988 your written</w:t>
      </w:r>
      <w:r>
        <w:rPr>
          <w:rFonts w:ascii="Arial" w:hAnsi="Arial" w:cs="Arial"/>
        </w:rPr>
        <w:t>/oral</w:t>
      </w:r>
      <w:r w:rsidRPr="00EB531D">
        <w:rPr>
          <w:rFonts w:ascii="Arial" w:hAnsi="Arial" w:cs="Arial"/>
        </w:rPr>
        <w:t xml:space="preserve"> consent is legally required</w:t>
      </w:r>
      <w:r>
        <w:rPr>
          <w:rFonts w:ascii="Arial" w:hAnsi="Arial" w:cs="Arial"/>
        </w:rPr>
        <w:t xml:space="preserve">. </w:t>
      </w:r>
    </w:p>
    <w:p w14:paraId="6A215B6E" w14:textId="77777777" w:rsidR="00710269" w:rsidRPr="00710269" w:rsidRDefault="00710269" w:rsidP="00710269">
      <w:pPr>
        <w:pStyle w:val="ListParagraph"/>
        <w:spacing w:before="60" w:after="60" w:line="264" w:lineRule="auto"/>
        <w:ind w:left="360"/>
        <w:jc w:val="both"/>
        <w:rPr>
          <w:rFonts w:ascii="Arial" w:hAnsi="Arial" w:cs="Arial"/>
        </w:rPr>
      </w:pPr>
    </w:p>
    <w:p w14:paraId="1CBD6E65" w14:textId="18E9A860" w:rsidR="00710269" w:rsidRPr="00710269" w:rsidRDefault="00EB531D" w:rsidP="00710269">
      <w:pPr>
        <w:pStyle w:val="ListParagraph"/>
        <w:spacing w:before="60" w:after="60" w:line="264" w:lineRule="auto"/>
        <w:ind w:left="360"/>
        <w:jc w:val="both"/>
        <w:rPr>
          <w:rFonts w:ascii="Arial" w:hAnsi="Arial" w:cs="Arial"/>
        </w:rPr>
      </w:pPr>
      <w:r>
        <w:rPr>
          <w:rFonts w:ascii="Arial" w:hAnsi="Arial" w:cs="Arial"/>
        </w:rPr>
        <w:t xml:space="preserve">The OH </w:t>
      </w:r>
      <w:r w:rsidR="00710269" w:rsidRPr="00710269">
        <w:rPr>
          <w:rFonts w:ascii="Arial" w:hAnsi="Arial" w:cs="Arial"/>
        </w:rPr>
        <w:t>Assessments may be done over the phone, via video call, or face to face. Assessments are usually for about half an hour, are counted as paid time, and are scheduled during the working day</w:t>
      </w:r>
      <w:r>
        <w:rPr>
          <w:rFonts w:ascii="Arial" w:hAnsi="Arial" w:cs="Arial"/>
        </w:rPr>
        <w:t xml:space="preserve">. </w:t>
      </w:r>
      <w:r w:rsidR="00710269" w:rsidRPr="00710269">
        <w:rPr>
          <w:rFonts w:ascii="Arial" w:hAnsi="Arial" w:cs="Arial"/>
        </w:rPr>
        <w:t xml:space="preserve">You </w:t>
      </w:r>
      <w:r w:rsidRPr="00710269">
        <w:rPr>
          <w:rFonts w:ascii="Arial" w:hAnsi="Arial" w:cs="Arial"/>
        </w:rPr>
        <w:t>can</w:t>
      </w:r>
      <w:r w:rsidR="00710269" w:rsidRPr="00710269">
        <w:rPr>
          <w:rFonts w:ascii="Arial" w:hAnsi="Arial" w:cs="Arial"/>
        </w:rPr>
        <w:t xml:space="preserve"> be accompanied</w:t>
      </w:r>
      <w:r>
        <w:rPr>
          <w:rFonts w:ascii="Arial" w:hAnsi="Arial" w:cs="Arial"/>
        </w:rPr>
        <w:t xml:space="preserve"> to these assessments</w:t>
      </w:r>
      <w:r w:rsidR="00710269" w:rsidRPr="00710269">
        <w:rPr>
          <w:rFonts w:ascii="Arial" w:hAnsi="Arial" w:cs="Arial"/>
        </w:rPr>
        <w:t xml:space="preserve"> by a work friend,</w:t>
      </w:r>
      <w:r>
        <w:rPr>
          <w:rFonts w:ascii="Arial" w:hAnsi="Arial" w:cs="Arial"/>
        </w:rPr>
        <w:t xml:space="preserve"> or a</w:t>
      </w:r>
      <w:r w:rsidR="00710269" w:rsidRPr="00710269">
        <w:rPr>
          <w:rFonts w:ascii="Arial" w:hAnsi="Arial" w:cs="Arial"/>
        </w:rPr>
        <w:t xml:space="preserve"> colleague if you wish, for support.</w:t>
      </w:r>
    </w:p>
    <w:p w14:paraId="2A40CD98" w14:textId="77777777" w:rsidR="00710269" w:rsidRPr="00710269" w:rsidRDefault="00710269" w:rsidP="00710269">
      <w:pPr>
        <w:pStyle w:val="ListParagraph"/>
        <w:spacing w:before="60" w:after="60" w:line="264" w:lineRule="auto"/>
        <w:ind w:left="360"/>
        <w:jc w:val="both"/>
        <w:rPr>
          <w:rFonts w:ascii="Arial" w:hAnsi="Arial" w:cs="Arial"/>
        </w:rPr>
      </w:pPr>
    </w:p>
    <w:p w14:paraId="381C7D18" w14:textId="05A060AD" w:rsidR="009351D9" w:rsidRPr="009351D9" w:rsidRDefault="00710269" w:rsidP="009351D9">
      <w:pPr>
        <w:pStyle w:val="ListParagraph"/>
        <w:spacing w:before="60" w:after="60" w:line="264" w:lineRule="auto"/>
        <w:ind w:left="360"/>
        <w:jc w:val="both"/>
        <w:rPr>
          <w:rFonts w:ascii="Arial" w:hAnsi="Arial" w:cs="Arial"/>
        </w:rPr>
      </w:pPr>
      <w:r w:rsidRPr="00710269">
        <w:rPr>
          <w:rFonts w:ascii="Arial" w:hAnsi="Arial" w:cs="Arial"/>
        </w:rPr>
        <w:t xml:space="preserve">Assessments are costly and if you do not attend, then usually no more than </w:t>
      </w:r>
      <w:r w:rsidR="00EB531D">
        <w:rPr>
          <w:rFonts w:ascii="Arial" w:hAnsi="Arial" w:cs="Arial"/>
        </w:rPr>
        <w:t>one</w:t>
      </w:r>
      <w:r w:rsidRPr="00710269">
        <w:rPr>
          <w:rFonts w:ascii="Arial" w:hAnsi="Arial" w:cs="Arial"/>
        </w:rPr>
        <w:t xml:space="preserve"> further appointment will be made for you, and only if you have a good reason for non-attendance.  </w:t>
      </w:r>
      <w:r w:rsidR="00531236">
        <w:rPr>
          <w:rFonts w:ascii="Arial" w:hAnsi="Arial" w:cs="Arial"/>
        </w:rPr>
        <w:t>Optima Health</w:t>
      </w:r>
      <w:r w:rsidR="00EB531D">
        <w:rPr>
          <w:rFonts w:ascii="Arial" w:hAnsi="Arial" w:cs="Arial"/>
        </w:rPr>
        <w:t xml:space="preserve"> </w:t>
      </w:r>
      <w:r w:rsidRPr="00710269">
        <w:rPr>
          <w:rFonts w:ascii="Arial" w:hAnsi="Arial" w:cs="Arial"/>
        </w:rPr>
        <w:t xml:space="preserve">usually charge us for missed appointments – if you do not attend and do </w:t>
      </w:r>
      <w:r w:rsidRPr="00710269">
        <w:rPr>
          <w:rFonts w:ascii="Arial" w:hAnsi="Arial" w:cs="Arial"/>
        </w:rPr>
        <w:lastRenderedPageBreak/>
        <w:t xml:space="preserve">not provide us with a good reason and we are charged, then we </w:t>
      </w:r>
      <w:r w:rsidR="00EB531D">
        <w:rPr>
          <w:rFonts w:ascii="Arial" w:hAnsi="Arial" w:cs="Arial"/>
        </w:rPr>
        <w:t>will</w:t>
      </w:r>
      <w:r w:rsidRPr="00710269">
        <w:rPr>
          <w:rFonts w:ascii="Arial" w:hAnsi="Arial" w:cs="Arial"/>
        </w:rPr>
        <w:t xml:space="preserve"> pass this cost on to you.</w:t>
      </w:r>
    </w:p>
    <w:p w14:paraId="33BF758F" w14:textId="77777777" w:rsidR="00710269" w:rsidRPr="00710269" w:rsidRDefault="00710269" w:rsidP="00710269">
      <w:pPr>
        <w:pStyle w:val="ListParagraph"/>
        <w:spacing w:before="60" w:after="60" w:line="264" w:lineRule="auto"/>
        <w:ind w:left="360"/>
        <w:jc w:val="both"/>
        <w:rPr>
          <w:rFonts w:ascii="Arial" w:hAnsi="Arial" w:cs="Arial"/>
        </w:rPr>
      </w:pPr>
    </w:p>
    <w:p w14:paraId="530DC44B" w14:textId="2BE9A84E" w:rsidR="00710269" w:rsidRPr="00710269" w:rsidRDefault="00710269" w:rsidP="00710269">
      <w:pPr>
        <w:pStyle w:val="ListParagraph"/>
        <w:spacing w:before="60" w:after="60" w:line="264" w:lineRule="auto"/>
        <w:ind w:left="360"/>
        <w:jc w:val="both"/>
        <w:rPr>
          <w:rFonts w:ascii="Arial" w:hAnsi="Arial" w:cs="Arial"/>
        </w:rPr>
      </w:pPr>
      <w:r w:rsidRPr="00710269">
        <w:rPr>
          <w:rFonts w:ascii="Arial" w:hAnsi="Arial" w:cs="Arial"/>
        </w:rPr>
        <w:t xml:space="preserve">If you have specific gender, cultural or other needs which you would like </w:t>
      </w:r>
      <w:r w:rsidR="00EB531D" w:rsidRPr="00710269">
        <w:rPr>
          <w:rFonts w:ascii="Arial" w:hAnsi="Arial" w:cs="Arial"/>
        </w:rPr>
        <w:t>considered</w:t>
      </w:r>
      <w:r w:rsidRPr="00710269">
        <w:rPr>
          <w:rFonts w:ascii="Arial" w:hAnsi="Arial" w:cs="Arial"/>
        </w:rPr>
        <w:t xml:space="preserve"> when attending an OH assessment, you should discuss this with your manager so that your needs can be accommodated where possible.</w:t>
      </w:r>
    </w:p>
    <w:p w14:paraId="523046D0" w14:textId="77777777" w:rsidR="00710269" w:rsidRPr="00710269" w:rsidRDefault="00710269" w:rsidP="00710269">
      <w:pPr>
        <w:pStyle w:val="ListParagraph"/>
        <w:spacing w:before="60" w:after="60" w:line="264" w:lineRule="auto"/>
        <w:ind w:left="360"/>
        <w:jc w:val="both"/>
        <w:rPr>
          <w:rFonts w:ascii="Arial" w:hAnsi="Arial" w:cs="Arial"/>
        </w:rPr>
      </w:pPr>
    </w:p>
    <w:p w14:paraId="2E15AC21" w14:textId="2B93CE58" w:rsidR="00710269" w:rsidRDefault="00EB531D" w:rsidP="00710269">
      <w:pPr>
        <w:pStyle w:val="ListParagraph"/>
        <w:spacing w:before="60" w:after="60" w:line="264" w:lineRule="auto"/>
        <w:ind w:left="360"/>
        <w:jc w:val="both"/>
        <w:rPr>
          <w:rFonts w:ascii="Arial" w:hAnsi="Arial" w:cs="Arial"/>
        </w:rPr>
      </w:pPr>
      <w:r>
        <w:rPr>
          <w:rFonts w:ascii="Arial" w:hAnsi="Arial" w:cs="Arial"/>
        </w:rPr>
        <w:t>HR and your manager</w:t>
      </w:r>
      <w:r w:rsidR="00710269" w:rsidRPr="00710269">
        <w:rPr>
          <w:rFonts w:ascii="Arial" w:hAnsi="Arial" w:cs="Arial"/>
        </w:rPr>
        <w:t xml:space="preserve"> will write a referral to OH including information such as the requirements of your current role, your sickness absence record, and reasons for absence over the past rolling 12 months.</w:t>
      </w:r>
    </w:p>
    <w:p w14:paraId="651958B5" w14:textId="77777777" w:rsidR="009351D9" w:rsidRPr="00710269" w:rsidRDefault="009351D9" w:rsidP="00710269">
      <w:pPr>
        <w:pStyle w:val="ListParagraph"/>
        <w:spacing w:before="60" w:after="60" w:line="264" w:lineRule="auto"/>
        <w:ind w:left="360"/>
        <w:jc w:val="both"/>
        <w:rPr>
          <w:rFonts w:ascii="Arial" w:hAnsi="Arial" w:cs="Arial"/>
        </w:rPr>
      </w:pPr>
    </w:p>
    <w:p w14:paraId="2B45FE28" w14:textId="77777777" w:rsidR="009351D9" w:rsidRDefault="009351D9" w:rsidP="009351D9">
      <w:pPr>
        <w:spacing w:before="60" w:after="60" w:line="264" w:lineRule="auto"/>
        <w:ind w:left="360"/>
        <w:jc w:val="both"/>
        <w:rPr>
          <w:rFonts w:ascii="Arial" w:hAnsi="Arial" w:cs="Arial"/>
        </w:rPr>
      </w:pPr>
      <w:r w:rsidRPr="00710269">
        <w:rPr>
          <w:rFonts w:ascii="Arial" w:hAnsi="Arial" w:cs="Arial"/>
        </w:rPr>
        <w:t xml:space="preserve">If you choose not to attend an OH appointment, or if, following the appointment you do not allow </w:t>
      </w:r>
      <w:r>
        <w:rPr>
          <w:rFonts w:ascii="Arial" w:hAnsi="Arial" w:cs="Arial"/>
        </w:rPr>
        <w:t>Colart</w:t>
      </w:r>
      <w:r w:rsidRPr="00710269">
        <w:rPr>
          <w:rFonts w:ascii="Arial" w:hAnsi="Arial" w:cs="Arial"/>
        </w:rPr>
        <w:t xml:space="preserve"> to see your OH report, then any management decisions regarding your continuing employment, or any sanctions under our </w:t>
      </w:r>
      <w:r w:rsidRPr="00710269">
        <w:rPr>
          <w:rFonts w:ascii="Arial" w:hAnsi="Arial" w:cs="Arial"/>
          <w:b/>
          <w:bCs/>
        </w:rPr>
        <w:t>Ill Health Capability policy</w:t>
      </w:r>
      <w:r w:rsidRPr="00710269">
        <w:rPr>
          <w:rFonts w:ascii="Arial" w:hAnsi="Arial" w:cs="Arial"/>
        </w:rPr>
        <w:t xml:space="preserve"> will be made without the benefit of OH medical advice.</w:t>
      </w:r>
    </w:p>
    <w:p w14:paraId="72EB072C" w14:textId="77777777" w:rsidR="00625EC9" w:rsidRDefault="00625EC9" w:rsidP="00625EC9">
      <w:pPr>
        <w:pStyle w:val="ListParagraph"/>
        <w:spacing w:before="60" w:after="60" w:line="264" w:lineRule="auto"/>
        <w:ind w:left="1004"/>
        <w:jc w:val="both"/>
        <w:rPr>
          <w:rFonts w:ascii="Arial" w:hAnsi="Arial" w:cs="Arial"/>
        </w:rPr>
      </w:pPr>
    </w:p>
    <w:p w14:paraId="52934B81" w14:textId="263DFB78" w:rsidR="00D26D82" w:rsidRPr="00710269" w:rsidRDefault="00EB531D" w:rsidP="00625EC9">
      <w:pPr>
        <w:pStyle w:val="ListParagraph"/>
        <w:numPr>
          <w:ilvl w:val="0"/>
          <w:numId w:val="5"/>
        </w:numPr>
        <w:spacing w:before="60" w:after="60" w:line="264" w:lineRule="auto"/>
        <w:rPr>
          <w:rFonts w:ascii="Arial" w:hAnsi="Arial" w:cs="Arial"/>
          <w:b/>
          <w:bCs/>
          <w:sz w:val="24"/>
          <w:szCs w:val="24"/>
        </w:rPr>
      </w:pPr>
      <w:r>
        <w:rPr>
          <w:rFonts w:ascii="Arial" w:hAnsi="Arial" w:cs="Arial"/>
          <w:b/>
          <w:bCs/>
          <w:sz w:val="24"/>
          <w:szCs w:val="24"/>
        </w:rPr>
        <w:t>Reasons for an</w:t>
      </w:r>
      <w:r w:rsidR="00625EC9" w:rsidRPr="00710269">
        <w:rPr>
          <w:rFonts w:ascii="Arial" w:hAnsi="Arial" w:cs="Arial"/>
          <w:b/>
          <w:bCs/>
          <w:sz w:val="24"/>
          <w:szCs w:val="24"/>
        </w:rPr>
        <w:t xml:space="preserve"> Occupational Health</w:t>
      </w:r>
      <w:r>
        <w:rPr>
          <w:rFonts w:ascii="Arial" w:hAnsi="Arial" w:cs="Arial"/>
          <w:b/>
          <w:bCs/>
          <w:sz w:val="24"/>
          <w:szCs w:val="24"/>
        </w:rPr>
        <w:t xml:space="preserve"> referral</w:t>
      </w:r>
    </w:p>
    <w:p w14:paraId="71620FD6" w14:textId="77777777" w:rsidR="00710269" w:rsidRDefault="00710269" w:rsidP="00710269">
      <w:pPr>
        <w:spacing w:before="60" w:after="60" w:line="264" w:lineRule="auto"/>
        <w:ind w:left="360"/>
        <w:jc w:val="both"/>
        <w:rPr>
          <w:rFonts w:ascii="Arial" w:hAnsi="Arial" w:cs="Arial"/>
        </w:rPr>
      </w:pPr>
      <w:r w:rsidRPr="00710269">
        <w:rPr>
          <w:rFonts w:ascii="Arial" w:hAnsi="Arial" w:cs="Arial"/>
        </w:rPr>
        <w:t>The examples listed below are a guide to possible reasons for an OH referral. The list is neither exhaustive nor conclusive and we may refer you to OH for other reasons:</w:t>
      </w:r>
    </w:p>
    <w:p w14:paraId="0C211174" w14:textId="77777777" w:rsidR="00710269" w:rsidRDefault="00710269" w:rsidP="00710269">
      <w:pPr>
        <w:spacing w:before="60" w:after="60" w:line="264" w:lineRule="auto"/>
        <w:ind w:left="360"/>
        <w:jc w:val="both"/>
        <w:rPr>
          <w:rFonts w:ascii="Arial" w:hAnsi="Arial" w:cs="Arial"/>
        </w:rPr>
      </w:pPr>
    </w:p>
    <w:p w14:paraId="4CF0A8BB" w14:textId="3BA5F62E"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when your sickness absence level is above the Colart norm please refer to the Sickness Absence policy</w:t>
      </w:r>
    </w:p>
    <w:p w14:paraId="0493FFA7" w14:textId="68E217D4"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where you have been given a Fit Note and may be fit to work but we need OHS advice on the suggestions made by your GP/specialist</w:t>
      </w:r>
    </w:p>
    <w:p w14:paraId="02CDB671" w14:textId="462B5875"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where there are recurring symptoms leading to significant absences (which may be sporadic)</w:t>
      </w:r>
    </w:p>
    <w:p w14:paraId="57DDEAA6" w14:textId="44B9070B"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on return to work from a major operation or significant period of sickness absence</w:t>
      </w:r>
    </w:p>
    <w:p w14:paraId="54B7E896" w14:textId="09500179"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on diagnosis of a serious illness or health issue which may affect your ability to fulfil your role</w:t>
      </w:r>
    </w:p>
    <w:p w14:paraId="2151570E" w14:textId="5D553594"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where there are identified trends/patterns in your sickness absence</w:t>
      </w:r>
    </w:p>
    <w:p w14:paraId="4EFF8534" w14:textId="28F55891"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following an accident at work</w:t>
      </w:r>
    </w:p>
    <w:p w14:paraId="03EA41CC" w14:textId="77777777" w:rsidR="00710269" w:rsidRDefault="00710269" w:rsidP="00710269">
      <w:pPr>
        <w:pStyle w:val="ListParagraph"/>
        <w:numPr>
          <w:ilvl w:val="0"/>
          <w:numId w:val="8"/>
        </w:numPr>
        <w:spacing w:before="60" w:after="60" w:line="264" w:lineRule="auto"/>
        <w:jc w:val="both"/>
        <w:rPr>
          <w:rFonts w:ascii="Arial" w:hAnsi="Arial" w:cs="Arial"/>
        </w:rPr>
      </w:pPr>
      <w:r w:rsidRPr="00710269">
        <w:rPr>
          <w:rFonts w:ascii="Arial" w:hAnsi="Arial" w:cs="Arial"/>
        </w:rPr>
        <w:t>to seek guidance on adjustments related to your health condition or disability at your own request.</w:t>
      </w:r>
    </w:p>
    <w:p w14:paraId="14E27F47" w14:textId="77777777" w:rsidR="00EB531D" w:rsidRDefault="00EB531D" w:rsidP="00EB531D">
      <w:pPr>
        <w:pStyle w:val="ListParagraph"/>
        <w:spacing w:before="60" w:after="60" w:line="264" w:lineRule="auto"/>
        <w:ind w:left="1080"/>
        <w:jc w:val="both"/>
        <w:rPr>
          <w:rFonts w:ascii="Arial" w:hAnsi="Arial" w:cs="Arial"/>
        </w:rPr>
      </w:pPr>
    </w:p>
    <w:p w14:paraId="5A6A54B9" w14:textId="391FEE84" w:rsidR="00710269" w:rsidRPr="00710269" w:rsidRDefault="00710269" w:rsidP="00710269">
      <w:pPr>
        <w:spacing w:before="60" w:after="60" w:line="264" w:lineRule="auto"/>
        <w:ind w:left="360"/>
        <w:jc w:val="both"/>
        <w:rPr>
          <w:rFonts w:ascii="Arial" w:hAnsi="Arial" w:cs="Arial"/>
        </w:rPr>
      </w:pPr>
      <w:r w:rsidRPr="00710269">
        <w:rPr>
          <w:rFonts w:ascii="Arial" w:hAnsi="Arial" w:cs="Arial"/>
        </w:rPr>
        <w:t xml:space="preserve">During periods of long term sickness, or whilst receiving Income </w:t>
      </w:r>
      <w:r>
        <w:rPr>
          <w:rFonts w:ascii="Arial" w:hAnsi="Arial" w:cs="Arial"/>
        </w:rPr>
        <w:t>Protection</w:t>
      </w:r>
      <w:r w:rsidRPr="00710269">
        <w:rPr>
          <w:rFonts w:ascii="Arial" w:hAnsi="Arial" w:cs="Arial"/>
        </w:rPr>
        <w:t xml:space="preserve"> Scheme benefits,</w:t>
      </w:r>
      <w:r w:rsidRPr="004716EA">
        <w:rPr>
          <w:rFonts w:ascii="Arial" w:hAnsi="Arial" w:cs="Arial"/>
          <w:b/>
          <w:bCs/>
        </w:rPr>
        <w:t>(</w:t>
      </w:r>
      <w:r w:rsidR="004716EA" w:rsidRPr="004716EA">
        <w:rPr>
          <w:rFonts w:ascii="Arial" w:hAnsi="Arial" w:cs="Arial"/>
          <w:b/>
          <w:bCs/>
        </w:rPr>
        <w:t xml:space="preserve">please refer to your local handbook to find out if </w:t>
      </w:r>
      <w:r w:rsidRPr="004716EA">
        <w:rPr>
          <w:rFonts w:ascii="Arial" w:hAnsi="Arial" w:cs="Arial"/>
          <w:b/>
          <w:bCs/>
        </w:rPr>
        <w:t>receive this benefit</w:t>
      </w:r>
      <w:r>
        <w:rPr>
          <w:rFonts w:ascii="Arial" w:hAnsi="Arial" w:cs="Arial"/>
        </w:rPr>
        <w:t xml:space="preserve">) </w:t>
      </w:r>
      <w:r w:rsidRPr="00710269">
        <w:rPr>
          <w:rFonts w:ascii="Arial" w:hAnsi="Arial" w:cs="Arial"/>
        </w:rPr>
        <w:t xml:space="preserve">you will usually be referred at least annually, and often more frequently depending on your health condition. This is to ensure that we receive regular up to date information on your condition and </w:t>
      </w:r>
      <w:proofErr w:type="gramStart"/>
      <w:r w:rsidRPr="00710269">
        <w:rPr>
          <w:rFonts w:ascii="Arial" w:hAnsi="Arial" w:cs="Arial"/>
        </w:rPr>
        <w:t>you</w:t>
      </w:r>
      <w:r w:rsidR="00957991">
        <w:rPr>
          <w:rFonts w:ascii="Arial" w:hAnsi="Arial" w:cs="Arial"/>
        </w:rPr>
        <w:t>r</w:t>
      </w:r>
      <w:proofErr w:type="gramEnd"/>
      <w:r w:rsidRPr="00710269">
        <w:rPr>
          <w:rFonts w:ascii="Arial" w:hAnsi="Arial" w:cs="Arial"/>
        </w:rPr>
        <w:t xml:space="preserve"> likely return to work</w:t>
      </w:r>
      <w:r>
        <w:rPr>
          <w:rFonts w:ascii="Arial" w:hAnsi="Arial" w:cs="Arial"/>
        </w:rPr>
        <w:t xml:space="preserve">. </w:t>
      </w:r>
    </w:p>
    <w:p w14:paraId="3C412908" w14:textId="77777777" w:rsidR="00710269" w:rsidRPr="00710269" w:rsidRDefault="00710269" w:rsidP="00710269">
      <w:pPr>
        <w:spacing w:before="60" w:after="60" w:line="264" w:lineRule="auto"/>
        <w:ind w:left="360"/>
        <w:jc w:val="both"/>
        <w:rPr>
          <w:rFonts w:ascii="Arial" w:hAnsi="Arial" w:cs="Arial"/>
        </w:rPr>
      </w:pPr>
    </w:p>
    <w:p w14:paraId="2ACFD9FF" w14:textId="03921A0B" w:rsidR="00710269" w:rsidRPr="00710269" w:rsidRDefault="00710269" w:rsidP="00710269">
      <w:pPr>
        <w:spacing w:before="60" w:after="60" w:line="264" w:lineRule="auto"/>
        <w:ind w:left="360"/>
        <w:jc w:val="both"/>
        <w:rPr>
          <w:rFonts w:ascii="Arial" w:hAnsi="Arial" w:cs="Arial"/>
        </w:rPr>
      </w:pPr>
      <w:r w:rsidRPr="00710269">
        <w:rPr>
          <w:rFonts w:ascii="Arial" w:hAnsi="Arial" w:cs="Arial"/>
        </w:rPr>
        <w:t>Your line manager will usually have a discussion with you regarding your absence levels or health issues and decide whether it is appropriate to refer you to O</w:t>
      </w:r>
      <w:r>
        <w:rPr>
          <w:rFonts w:ascii="Arial" w:hAnsi="Arial" w:cs="Arial"/>
        </w:rPr>
        <w:t>H.</w:t>
      </w:r>
    </w:p>
    <w:p w14:paraId="6C4D9E36" w14:textId="77777777" w:rsidR="00EB531D" w:rsidRDefault="00EB531D" w:rsidP="001B19F1">
      <w:pPr>
        <w:spacing w:before="60" w:after="60" w:line="264" w:lineRule="auto"/>
        <w:jc w:val="both"/>
        <w:rPr>
          <w:rFonts w:ascii="Arial" w:hAnsi="Arial" w:cs="Arial"/>
        </w:rPr>
      </w:pPr>
    </w:p>
    <w:p w14:paraId="69E19C6C" w14:textId="77777777" w:rsidR="001B19F1" w:rsidRDefault="001B19F1" w:rsidP="001B19F1">
      <w:pPr>
        <w:spacing w:before="60" w:after="60" w:line="264" w:lineRule="auto"/>
        <w:jc w:val="both"/>
        <w:rPr>
          <w:rFonts w:ascii="Arial" w:hAnsi="Arial" w:cs="Arial"/>
        </w:rPr>
      </w:pPr>
    </w:p>
    <w:p w14:paraId="5C2175FA" w14:textId="77777777" w:rsidR="001B19F1" w:rsidRDefault="001B19F1" w:rsidP="001B19F1">
      <w:pPr>
        <w:spacing w:before="60" w:after="60" w:line="264" w:lineRule="auto"/>
        <w:jc w:val="both"/>
        <w:rPr>
          <w:rFonts w:ascii="Arial" w:hAnsi="Arial" w:cs="Arial"/>
        </w:rPr>
      </w:pPr>
    </w:p>
    <w:p w14:paraId="493AEED5" w14:textId="77777777" w:rsidR="001B19F1" w:rsidRDefault="001B19F1" w:rsidP="001B19F1">
      <w:pPr>
        <w:spacing w:before="60" w:after="60" w:line="264" w:lineRule="auto"/>
        <w:jc w:val="both"/>
        <w:rPr>
          <w:rFonts w:ascii="Arial" w:hAnsi="Arial" w:cs="Arial"/>
        </w:rPr>
      </w:pPr>
    </w:p>
    <w:p w14:paraId="4AD11EBB" w14:textId="60ED0ADC" w:rsidR="00EB531D" w:rsidRPr="00B558C2" w:rsidRDefault="00EB531D" w:rsidP="00EB531D">
      <w:pPr>
        <w:pStyle w:val="ListParagraph"/>
        <w:numPr>
          <w:ilvl w:val="0"/>
          <w:numId w:val="5"/>
        </w:numPr>
        <w:spacing w:before="60" w:after="60" w:line="264" w:lineRule="auto"/>
        <w:jc w:val="both"/>
        <w:rPr>
          <w:rFonts w:ascii="Arial" w:hAnsi="Arial" w:cs="Arial"/>
          <w:b/>
          <w:bCs/>
          <w:sz w:val="24"/>
          <w:szCs w:val="24"/>
        </w:rPr>
      </w:pPr>
      <w:r w:rsidRPr="00B558C2">
        <w:rPr>
          <w:rFonts w:ascii="Arial" w:hAnsi="Arial" w:cs="Arial"/>
          <w:b/>
          <w:bCs/>
          <w:sz w:val="24"/>
          <w:szCs w:val="24"/>
        </w:rPr>
        <w:lastRenderedPageBreak/>
        <w:t>Report</w:t>
      </w:r>
    </w:p>
    <w:p w14:paraId="16A35CC2" w14:textId="1BA6388F" w:rsidR="00B558C2" w:rsidRPr="00B558C2" w:rsidRDefault="00B558C2" w:rsidP="00B558C2">
      <w:pPr>
        <w:pStyle w:val="ListParagraph"/>
        <w:ind w:left="360" w:right="-1"/>
        <w:jc w:val="both"/>
        <w:rPr>
          <w:rFonts w:ascii="Arial" w:eastAsia="Times New Roman" w:hAnsi="Arial" w:cs="Arial"/>
          <w:spacing w:val="6"/>
        </w:rPr>
      </w:pPr>
      <w:r>
        <w:rPr>
          <w:rFonts w:ascii="Arial" w:eastAsia="Times New Roman" w:hAnsi="Arial" w:cs="Arial"/>
          <w:spacing w:val="6"/>
        </w:rPr>
        <w:t xml:space="preserve">An </w:t>
      </w:r>
      <w:r w:rsidRPr="00B558C2">
        <w:rPr>
          <w:rFonts w:ascii="Arial" w:eastAsia="Times New Roman" w:hAnsi="Arial" w:cs="Arial"/>
          <w:spacing w:val="6"/>
        </w:rPr>
        <w:t>OH</w:t>
      </w:r>
      <w:r>
        <w:rPr>
          <w:rFonts w:ascii="Arial" w:eastAsia="Times New Roman" w:hAnsi="Arial" w:cs="Arial"/>
          <w:spacing w:val="6"/>
        </w:rPr>
        <w:t xml:space="preserve"> </w:t>
      </w:r>
      <w:r w:rsidRPr="00B558C2">
        <w:rPr>
          <w:rFonts w:ascii="Arial" w:eastAsia="Times New Roman" w:hAnsi="Arial" w:cs="Arial"/>
          <w:spacing w:val="6"/>
        </w:rPr>
        <w:t xml:space="preserve">report </w:t>
      </w:r>
      <w:r>
        <w:rPr>
          <w:rFonts w:ascii="Arial" w:eastAsia="Times New Roman" w:hAnsi="Arial" w:cs="Arial"/>
          <w:spacing w:val="6"/>
        </w:rPr>
        <w:t xml:space="preserve">will be initially provided </w:t>
      </w:r>
      <w:r w:rsidRPr="00B558C2">
        <w:rPr>
          <w:rFonts w:ascii="Arial" w:eastAsia="Times New Roman" w:hAnsi="Arial" w:cs="Arial"/>
          <w:spacing w:val="6"/>
        </w:rPr>
        <w:t xml:space="preserve">to you </w:t>
      </w:r>
      <w:r>
        <w:rPr>
          <w:rFonts w:ascii="Arial" w:eastAsia="Times New Roman" w:hAnsi="Arial" w:cs="Arial"/>
          <w:spacing w:val="6"/>
        </w:rPr>
        <w:t xml:space="preserve">which will allow you </w:t>
      </w:r>
      <w:r w:rsidRPr="00B558C2">
        <w:rPr>
          <w:rFonts w:ascii="Arial" w:eastAsia="Times New Roman" w:hAnsi="Arial" w:cs="Arial"/>
          <w:spacing w:val="6"/>
        </w:rPr>
        <w:t>to review</w:t>
      </w:r>
      <w:r>
        <w:rPr>
          <w:rFonts w:ascii="Arial" w:eastAsia="Times New Roman" w:hAnsi="Arial" w:cs="Arial"/>
          <w:spacing w:val="6"/>
        </w:rPr>
        <w:t xml:space="preserve"> </w:t>
      </w:r>
      <w:r w:rsidRPr="00B558C2">
        <w:rPr>
          <w:rFonts w:ascii="Arial" w:eastAsia="Times New Roman" w:hAnsi="Arial" w:cs="Arial"/>
          <w:spacing w:val="6"/>
        </w:rPr>
        <w:t xml:space="preserve">and respond to them with any queries/clarifications. </w:t>
      </w:r>
      <w:r>
        <w:rPr>
          <w:rFonts w:ascii="Arial" w:eastAsia="Times New Roman" w:hAnsi="Arial" w:cs="Arial"/>
          <w:spacing w:val="6"/>
        </w:rPr>
        <w:t xml:space="preserve">Your </w:t>
      </w:r>
      <w:r w:rsidRPr="00B558C2">
        <w:rPr>
          <w:rFonts w:ascii="Arial" w:eastAsia="Times New Roman" w:hAnsi="Arial" w:cs="Arial"/>
          <w:spacing w:val="6"/>
        </w:rPr>
        <w:t>OH</w:t>
      </w:r>
      <w:r>
        <w:rPr>
          <w:rFonts w:ascii="Arial" w:eastAsia="Times New Roman" w:hAnsi="Arial" w:cs="Arial"/>
          <w:spacing w:val="6"/>
        </w:rPr>
        <w:t xml:space="preserve"> assessor</w:t>
      </w:r>
      <w:r w:rsidRPr="00B558C2">
        <w:rPr>
          <w:rFonts w:ascii="Arial" w:eastAsia="Times New Roman" w:hAnsi="Arial" w:cs="Arial"/>
          <w:spacing w:val="6"/>
        </w:rPr>
        <w:t xml:space="preserve">, will then upload your report to their secure, purpose-built online portal for </w:t>
      </w:r>
      <w:r>
        <w:rPr>
          <w:rFonts w:ascii="Arial" w:eastAsia="Times New Roman" w:hAnsi="Arial" w:cs="Arial"/>
          <w:spacing w:val="6"/>
        </w:rPr>
        <w:t xml:space="preserve">HR </w:t>
      </w:r>
      <w:r w:rsidRPr="00B558C2">
        <w:rPr>
          <w:rFonts w:ascii="Arial" w:eastAsia="Times New Roman" w:hAnsi="Arial" w:cs="Arial"/>
          <w:spacing w:val="6"/>
        </w:rPr>
        <w:t xml:space="preserve">to access. </w:t>
      </w:r>
    </w:p>
    <w:p w14:paraId="142A2EA9" w14:textId="77777777" w:rsidR="00B558C2" w:rsidRPr="00B558C2" w:rsidRDefault="00B558C2" w:rsidP="00B558C2">
      <w:pPr>
        <w:pStyle w:val="ListParagraph"/>
        <w:ind w:left="360" w:right="-1"/>
        <w:jc w:val="both"/>
        <w:rPr>
          <w:rFonts w:ascii="Arial" w:eastAsia="Times New Roman" w:hAnsi="Arial" w:cs="Arial"/>
          <w:spacing w:val="6"/>
        </w:rPr>
      </w:pPr>
    </w:p>
    <w:p w14:paraId="314CB501" w14:textId="5312EE38" w:rsidR="00B558C2" w:rsidRPr="00B558C2" w:rsidRDefault="00B558C2" w:rsidP="00B558C2">
      <w:pPr>
        <w:pStyle w:val="ListParagraph"/>
        <w:ind w:left="360" w:right="-1"/>
        <w:jc w:val="both"/>
        <w:rPr>
          <w:rFonts w:ascii="Arial" w:eastAsia="Times New Roman" w:hAnsi="Arial" w:cs="Arial"/>
          <w:spacing w:val="6"/>
        </w:rPr>
      </w:pPr>
      <w:r w:rsidRPr="00B558C2">
        <w:rPr>
          <w:rFonts w:ascii="Arial" w:eastAsia="Times New Roman" w:hAnsi="Arial" w:cs="Arial"/>
          <w:spacing w:val="6"/>
        </w:rPr>
        <w:t xml:space="preserve">Your report will be seen on a “need to know” basis only, for example, your manager depending on the issues, and </w:t>
      </w:r>
      <w:r>
        <w:rPr>
          <w:rFonts w:ascii="Arial" w:eastAsia="Times New Roman" w:hAnsi="Arial" w:cs="Arial"/>
          <w:spacing w:val="6"/>
        </w:rPr>
        <w:t xml:space="preserve">any </w:t>
      </w:r>
      <w:r w:rsidRPr="00B558C2">
        <w:rPr>
          <w:rFonts w:ascii="Arial" w:eastAsia="Times New Roman" w:hAnsi="Arial" w:cs="Arial"/>
          <w:spacing w:val="6"/>
        </w:rPr>
        <w:t>relevant members of the HR Team. Anyone who sees your report will treat it confidentially.</w:t>
      </w:r>
    </w:p>
    <w:p w14:paraId="66C8B643" w14:textId="77777777" w:rsidR="00B558C2" w:rsidRPr="00B558C2" w:rsidRDefault="00B558C2" w:rsidP="00B558C2">
      <w:pPr>
        <w:pStyle w:val="ListParagraph"/>
        <w:ind w:left="360" w:right="-1"/>
        <w:jc w:val="both"/>
        <w:rPr>
          <w:rFonts w:ascii="Arial" w:eastAsia="Times New Roman" w:hAnsi="Arial" w:cs="Arial"/>
          <w:spacing w:val="6"/>
        </w:rPr>
      </w:pPr>
    </w:p>
    <w:p w14:paraId="3D050C72" w14:textId="403F4AFD" w:rsidR="00B558C2" w:rsidRPr="00B558C2" w:rsidRDefault="00B558C2" w:rsidP="00B558C2">
      <w:pPr>
        <w:pStyle w:val="ListParagraph"/>
        <w:ind w:left="360" w:right="-1"/>
        <w:jc w:val="both"/>
        <w:rPr>
          <w:rFonts w:ascii="Arial" w:eastAsia="Times New Roman" w:hAnsi="Arial" w:cs="Arial"/>
          <w:spacing w:val="6"/>
        </w:rPr>
      </w:pPr>
      <w:r w:rsidRPr="00B558C2">
        <w:rPr>
          <w:rFonts w:ascii="Arial" w:eastAsia="Times New Roman" w:hAnsi="Arial" w:cs="Arial"/>
          <w:spacing w:val="6"/>
        </w:rPr>
        <w:t>If, after your initial review of the report, you feel that there is still information that is factually inaccurate then you should let your manager, and the HR Team know so they can raise this with OH</w:t>
      </w:r>
      <w:r>
        <w:rPr>
          <w:rFonts w:ascii="Arial" w:eastAsia="Times New Roman" w:hAnsi="Arial" w:cs="Arial"/>
          <w:spacing w:val="6"/>
        </w:rPr>
        <w:t xml:space="preserve"> team</w:t>
      </w:r>
      <w:r w:rsidRPr="00B558C2">
        <w:rPr>
          <w:rFonts w:ascii="Arial" w:eastAsia="Times New Roman" w:hAnsi="Arial" w:cs="Arial"/>
          <w:spacing w:val="6"/>
        </w:rPr>
        <w:t>. There is usually no recourse to a second opinion from another OH assessor, unless there are exceptional circumstances.</w:t>
      </w:r>
    </w:p>
    <w:p w14:paraId="05BB3EAB" w14:textId="77777777" w:rsidR="00B558C2" w:rsidRPr="00B558C2" w:rsidRDefault="00B558C2" w:rsidP="00B558C2">
      <w:pPr>
        <w:pStyle w:val="ListParagraph"/>
        <w:ind w:left="360" w:right="-1"/>
        <w:jc w:val="both"/>
        <w:rPr>
          <w:rFonts w:ascii="Arial" w:eastAsia="Times New Roman" w:hAnsi="Arial" w:cs="Arial"/>
          <w:spacing w:val="6"/>
        </w:rPr>
      </w:pPr>
    </w:p>
    <w:p w14:paraId="4E02E3B7" w14:textId="587D413A" w:rsidR="00B558C2" w:rsidRDefault="00B558C2" w:rsidP="00B558C2">
      <w:pPr>
        <w:pStyle w:val="ListParagraph"/>
        <w:ind w:left="360" w:right="-1"/>
        <w:jc w:val="both"/>
        <w:rPr>
          <w:rFonts w:ascii="Arial" w:eastAsia="Times New Roman" w:hAnsi="Arial" w:cs="Arial"/>
          <w:spacing w:val="6"/>
        </w:rPr>
      </w:pPr>
      <w:r w:rsidRPr="00B558C2">
        <w:rPr>
          <w:rFonts w:ascii="Arial" w:eastAsia="Times New Roman" w:hAnsi="Arial" w:cs="Arial"/>
          <w:spacing w:val="6"/>
        </w:rPr>
        <w:t>If at any time you feel there is new medical information or other relevant information to be considered then please discuss this with your manager, as we may need a further O</w:t>
      </w:r>
      <w:r>
        <w:rPr>
          <w:rFonts w:ascii="Arial" w:eastAsia="Times New Roman" w:hAnsi="Arial" w:cs="Arial"/>
          <w:spacing w:val="6"/>
        </w:rPr>
        <w:t>H</w:t>
      </w:r>
      <w:r w:rsidRPr="00B558C2">
        <w:rPr>
          <w:rFonts w:ascii="Arial" w:eastAsia="Times New Roman" w:hAnsi="Arial" w:cs="Arial"/>
          <w:spacing w:val="6"/>
        </w:rPr>
        <w:t xml:space="preserve"> assessment at that time.</w:t>
      </w:r>
    </w:p>
    <w:p w14:paraId="1758215F" w14:textId="77777777" w:rsidR="00B558C2" w:rsidRDefault="00B558C2" w:rsidP="00B558C2">
      <w:pPr>
        <w:pStyle w:val="ListParagraph"/>
        <w:ind w:left="360" w:right="-1"/>
        <w:jc w:val="both"/>
        <w:rPr>
          <w:rFonts w:ascii="Arial" w:eastAsia="Times New Roman" w:hAnsi="Arial" w:cs="Arial"/>
          <w:spacing w:val="6"/>
        </w:rPr>
      </w:pPr>
    </w:p>
    <w:p w14:paraId="6BF90E04" w14:textId="5892BE0F" w:rsidR="00B558C2" w:rsidRPr="00B558C2" w:rsidRDefault="00B558C2" w:rsidP="00B558C2">
      <w:pPr>
        <w:pStyle w:val="ListParagraph"/>
        <w:numPr>
          <w:ilvl w:val="0"/>
          <w:numId w:val="5"/>
        </w:numPr>
        <w:ind w:right="-1"/>
        <w:jc w:val="both"/>
        <w:rPr>
          <w:rFonts w:ascii="Arial" w:eastAsia="Times New Roman" w:hAnsi="Arial" w:cs="Arial"/>
          <w:b/>
          <w:bCs/>
          <w:spacing w:val="6"/>
        </w:rPr>
      </w:pPr>
      <w:r w:rsidRPr="00B558C2">
        <w:rPr>
          <w:rFonts w:ascii="Arial" w:eastAsia="Times New Roman" w:hAnsi="Arial" w:cs="Arial"/>
          <w:b/>
          <w:bCs/>
          <w:spacing w:val="6"/>
        </w:rPr>
        <w:t>New Starter health questionnaires</w:t>
      </w:r>
    </w:p>
    <w:p w14:paraId="560F6829" w14:textId="16925B6F" w:rsidR="004716EA" w:rsidRDefault="009351D9" w:rsidP="004716EA">
      <w:pPr>
        <w:pStyle w:val="ListParagraph"/>
        <w:ind w:left="360" w:right="-1"/>
        <w:jc w:val="both"/>
        <w:rPr>
          <w:rFonts w:ascii="Arial" w:eastAsia="Times New Roman" w:hAnsi="Arial" w:cs="Arial"/>
          <w:spacing w:val="6"/>
        </w:rPr>
      </w:pPr>
      <w:r w:rsidRPr="009351D9">
        <w:rPr>
          <w:rFonts w:ascii="Arial" w:eastAsia="Times New Roman" w:hAnsi="Arial" w:cs="Arial"/>
          <w:spacing w:val="6"/>
        </w:rPr>
        <w:t>The employment offer at Colart is conditional, requiring the completion of a New Starter Health Questionnaire.</w:t>
      </w:r>
      <w:r>
        <w:rPr>
          <w:rFonts w:ascii="Arial" w:eastAsia="Times New Roman" w:hAnsi="Arial" w:cs="Arial"/>
          <w:spacing w:val="6"/>
        </w:rPr>
        <w:t xml:space="preserve"> </w:t>
      </w:r>
      <w:r w:rsidRPr="009351D9">
        <w:rPr>
          <w:rFonts w:ascii="Arial" w:eastAsia="Times New Roman" w:hAnsi="Arial" w:cs="Arial"/>
          <w:spacing w:val="6"/>
        </w:rPr>
        <w:t xml:space="preserve">If these conditions aren't met, the offer may be withdrawn without compensation. The New Starter Health Questionnaire is designed to collect crucial health and safety information from all new employees. This helps us identify any specific needs or adjustments to support your health and safety at work. </w:t>
      </w:r>
      <w:r w:rsidR="004716EA" w:rsidRPr="004716EA">
        <w:rPr>
          <w:rFonts w:ascii="Arial" w:eastAsia="Times New Roman" w:hAnsi="Arial" w:cs="Arial"/>
          <w:spacing w:val="6"/>
        </w:rPr>
        <w:t>The questionnaire will cover various aspects, including:</w:t>
      </w:r>
    </w:p>
    <w:p w14:paraId="0559A554" w14:textId="77777777" w:rsidR="004716EA" w:rsidRPr="004716EA" w:rsidRDefault="004716EA" w:rsidP="004716EA">
      <w:pPr>
        <w:pStyle w:val="ListParagraph"/>
        <w:ind w:left="360" w:right="-1"/>
        <w:jc w:val="both"/>
        <w:rPr>
          <w:rFonts w:ascii="Arial" w:eastAsia="Times New Roman" w:hAnsi="Arial" w:cs="Arial"/>
          <w:spacing w:val="6"/>
        </w:rPr>
      </w:pPr>
    </w:p>
    <w:p w14:paraId="281BC6E3" w14:textId="77777777" w:rsidR="004716EA" w:rsidRPr="004716EA" w:rsidRDefault="004716EA" w:rsidP="004716EA">
      <w:pPr>
        <w:pStyle w:val="ListParagraph"/>
        <w:numPr>
          <w:ilvl w:val="1"/>
          <w:numId w:val="9"/>
        </w:numPr>
        <w:ind w:right="-1"/>
        <w:jc w:val="both"/>
        <w:rPr>
          <w:rFonts w:ascii="Arial" w:eastAsia="Times New Roman" w:hAnsi="Arial" w:cs="Arial"/>
          <w:spacing w:val="6"/>
        </w:rPr>
      </w:pPr>
      <w:r w:rsidRPr="004716EA">
        <w:rPr>
          <w:rFonts w:ascii="Arial" w:eastAsia="Times New Roman" w:hAnsi="Arial" w:cs="Arial"/>
          <w:spacing w:val="6"/>
        </w:rPr>
        <w:t>Medical history relevant to occupational health and safety.</w:t>
      </w:r>
    </w:p>
    <w:p w14:paraId="4CA9ABB6" w14:textId="77777777" w:rsidR="004716EA" w:rsidRPr="004716EA" w:rsidRDefault="004716EA" w:rsidP="004716EA">
      <w:pPr>
        <w:pStyle w:val="ListParagraph"/>
        <w:numPr>
          <w:ilvl w:val="1"/>
          <w:numId w:val="9"/>
        </w:numPr>
        <w:ind w:right="-1"/>
        <w:jc w:val="both"/>
        <w:rPr>
          <w:rFonts w:ascii="Arial" w:eastAsia="Times New Roman" w:hAnsi="Arial" w:cs="Arial"/>
          <w:spacing w:val="6"/>
        </w:rPr>
      </w:pPr>
      <w:r w:rsidRPr="004716EA">
        <w:rPr>
          <w:rFonts w:ascii="Arial" w:eastAsia="Times New Roman" w:hAnsi="Arial" w:cs="Arial"/>
          <w:spacing w:val="6"/>
        </w:rPr>
        <w:t>Current health conditions that could affect work performance or safety.</w:t>
      </w:r>
    </w:p>
    <w:p w14:paraId="242D3644" w14:textId="77777777" w:rsidR="004716EA" w:rsidRPr="004716EA" w:rsidRDefault="004716EA" w:rsidP="004716EA">
      <w:pPr>
        <w:pStyle w:val="ListParagraph"/>
        <w:numPr>
          <w:ilvl w:val="1"/>
          <w:numId w:val="9"/>
        </w:numPr>
        <w:ind w:right="-1"/>
        <w:jc w:val="both"/>
        <w:rPr>
          <w:rFonts w:ascii="Arial" w:eastAsia="Times New Roman" w:hAnsi="Arial" w:cs="Arial"/>
          <w:spacing w:val="6"/>
        </w:rPr>
      </w:pPr>
      <w:r w:rsidRPr="004716EA">
        <w:rPr>
          <w:rFonts w:ascii="Arial" w:eastAsia="Times New Roman" w:hAnsi="Arial" w:cs="Arial"/>
          <w:spacing w:val="6"/>
        </w:rPr>
        <w:t>Requirement for workplace adjustments or special accommodations.</w:t>
      </w:r>
    </w:p>
    <w:p w14:paraId="75879DAD" w14:textId="77777777" w:rsidR="004716EA" w:rsidRPr="004716EA" w:rsidRDefault="004716EA" w:rsidP="004716EA">
      <w:pPr>
        <w:pStyle w:val="ListParagraph"/>
        <w:numPr>
          <w:ilvl w:val="1"/>
          <w:numId w:val="9"/>
        </w:numPr>
        <w:ind w:right="-1"/>
        <w:jc w:val="both"/>
        <w:rPr>
          <w:rFonts w:ascii="Arial" w:eastAsia="Times New Roman" w:hAnsi="Arial" w:cs="Arial"/>
          <w:spacing w:val="6"/>
        </w:rPr>
      </w:pPr>
      <w:r w:rsidRPr="004716EA">
        <w:rPr>
          <w:rFonts w:ascii="Arial" w:eastAsia="Times New Roman" w:hAnsi="Arial" w:cs="Arial"/>
          <w:spacing w:val="6"/>
        </w:rPr>
        <w:t>Overview of past work-related injuries or illnesses.</w:t>
      </w:r>
    </w:p>
    <w:p w14:paraId="23275009" w14:textId="5783AAF7" w:rsidR="009351D9" w:rsidRPr="009351D9" w:rsidRDefault="004716EA" w:rsidP="009351D9">
      <w:pPr>
        <w:pStyle w:val="ListParagraph"/>
        <w:numPr>
          <w:ilvl w:val="1"/>
          <w:numId w:val="9"/>
        </w:numPr>
        <w:ind w:right="-1"/>
        <w:jc w:val="both"/>
        <w:rPr>
          <w:rFonts w:ascii="Arial" w:eastAsia="Times New Roman" w:hAnsi="Arial" w:cs="Arial"/>
          <w:spacing w:val="6"/>
        </w:rPr>
      </w:pPr>
      <w:r w:rsidRPr="004716EA">
        <w:rPr>
          <w:rFonts w:ascii="Arial" w:eastAsia="Times New Roman" w:hAnsi="Arial" w:cs="Arial"/>
          <w:spacing w:val="6"/>
        </w:rPr>
        <w:t>Allergies or sensitivities that may be relevant to their position or workplace environment.</w:t>
      </w:r>
    </w:p>
    <w:p w14:paraId="1AD8B12D" w14:textId="77777777" w:rsidR="004716EA" w:rsidRDefault="004716EA" w:rsidP="004716EA">
      <w:pPr>
        <w:pStyle w:val="ListParagraph"/>
        <w:ind w:left="1440" w:right="-1"/>
        <w:jc w:val="both"/>
        <w:rPr>
          <w:rFonts w:ascii="Arial" w:eastAsia="Times New Roman" w:hAnsi="Arial" w:cs="Arial"/>
          <w:spacing w:val="6"/>
        </w:rPr>
      </w:pPr>
    </w:p>
    <w:p w14:paraId="538076ED" w14:textId="49A203F9" w:rsidR="004716EA" w:rsidRPr="004716EA" w:rsidRDefault="004716EA" w:rsidP="004716EA">
      <w:pPr>
        <w:pStyle w:val="ListParagraph"/>
        <w:numPr>
          <w:ilvl w:val="0"/>
          <w:numId w:val="5"/>
        </w:numPr>
        <w:ind w:right="-1"/>
        <w:jc w:val="both"/>
        <w:rPr>
          <w:rFonts w:ascii="Arial" w:eastAsia="Times New Roman" w:hAnsi="Arial" w:cs="Arial"/>
          <w:b/>
          <w:bCs/>
          <w:spacing w:val="6"/>
        </w:rPr>
      </w:pPr>
      <w:r w:rsidRPr="004716EA">
        <w:rPr>
          <w:rFonts w:ascii="Arial" w:eastAsia="Times New Roman" w:hAnsi="Arial" w:cs="Arial"/>
          <w:b/>
          <w:bCs/>
          <w:spacing w:val="6"/>
        </w:rPr>
        <w:t>Confidentially and Support</w:t>
      </w:r>
    </w:p>
    <w:p w14:paraId="4992EA63" w14:textId="69AEE156" w:rsidR="004716EA" w:rsidRPr="004716EA" w:rsidRDefault="004716EA" w:rsidP="004716EA">
      <w:pPr>
        <w:pStyle w:val="ListParagraph"/>
        <w:ind w:left="360" w:right="-1"/>
        <w:jc w:val="both"/>
        <w:rPr>
          <w:rFonts w:ascii="Arial" w:eastAsia="Times New Roman" w:hAnsi="Arial" w:cs="Arial"/>
          <w:spacing w:val="6"/>
        </w:rPr>
      </w:pPr>
      <w:r w:rsidRPr="004716EA">
        <w:rPr>
          <w:rFonts w:ascii="Arial" w:eastAsia="Times New Roman" w:hAnsi="Arial" w:cs="Arial"/>
          <w:spacing w:val="6"/>
        </w:rPr>
        <w:t xml:space="preserve">Any personal information that you give to your line manager or HR about your health, or any disability will be treated in the strictest confidence. You are welcome to discuss any concerns or queries about your health condition or disability with your manager or HR at any time. </w:t>
      </w:r>
    </w:p>
    <w:p w14:paraId="2436C403" w14:textId="77777777" w:rsidR="004716EA" w:rsidRPr="004716EA" w:rsidRDefault="004716EA" w:rsidP="004716EA">
      <w:pPr>
        <w:pStyle w:val="ListParagraph"/>
        <w:ind w:left="360" w:right="-1"/>
        <w:jc w:val="both"/>
        <w:rPr>
          <w:rFonts w:ascii="Arial" w:eastAsia="Times New Roman" w:hAnsi="Arial" w:cs="Arial"/>
          <w:spacing w:val="6"/>
        </w:rPr>
      </w:pPr>
    </w:p>
    <w:p w14:paraId="42E9BB8F" w14:textId="3A9CBE97" w:rsidR="00B558C2" w:rsidRDefault="004716EA" w:rsidP="004716EA">
      <w:pPr>
        <w:ind w:left="360"/>
        <w:jc w:val="both"/>
      </w:pPr>
      <w:r>
        <w:rPr>
          <w:rFonts w:ascii="Arial" w:eastAsia="Times New Roman" w:hAnsi="Arial" w:cs="Arial"/>
          <w:spacing w:val="6"/>
        </w:rPr>
        <w:t xml:space="preserve">In addition, we offer all employee an Employee </w:t>
      </w:r>
      <w:r w:rsidR="00C80B65">
        <w:rPr>
          <w:rFonts w:ascii="Arial" w:eastAsia="Times New Roman" w:hAnsi="Arial" w:cs="Arial"/>
          <w:spacing w:val="6"/>
        </w:rPr>
        <w:t>Assistance</w:t>
      </w:r>
      <w:r>
        <w:rPr>
          <w:rFonts w:ascii="Arial" w:eastAsia="Times New Roman" w:hAnsi="Arial" w:cs="Arial"/>
          <w:spacing w:val="6"/>
        </w:rPr>
        <w:t xml:space="preserve"> Programme - </w:t>
      </w:r>
      <w:proofErr w:type="spellStart"/>
      <w:r w:rsidRPr="004716EA">
        <w:rPr>
          <w:rFonts w:ascii="Arial" w:eastAsia="Times New Roman" w:hAnsi="Arial" w:cs="Arial"/>
          <w:spacing w:val="6"/>
        </w:rPr>
        <w:t>Help@hand</w:t>
      </w:r>
      <w:proofErr w:type="spellEnd"/>
      <w:r w:rsidRPr="004716EA">
        <w:rPr>
          <w:rFonts w:ascii="Arial" w:eastAsia="Times New Roman" w:hAnsi="Arial" w:cs="Arial"/>
          <w:spacing w:val="6"/>
        </w:rPr>
        <w:t xml:space="preserve">, provided by Unum, is your go-to resource for a range of health and wellbeing services. Whether you need medical advice, mental health support, or assistance with everyday challenges, </w:t>
      </w:r>
      <w:proofErr w:type="spellStart"/>
      <w:r w:rsidRPr="004716EA">
        <w:rPr>
          <w:rFonts w:ascii="Arial" w:eastAsia="Times New Roman" w:hAnsi="Arial" w:cs="Arial"/>
          <w:spacing w:val="6"/>
        </w:rPr>
        <w:t>Help@hand</w:t>
      </w:r>
      <w:proofErr w:type="spellEnd"/>
      <w:r w:rsidRPr="004716EA">
        <w:rPr>
          <w:rFonts w:ascii="Arial" w:eastAsia="Times New Roman" w:hAnsi="Arial" w:cs="Arial"/>
          <w:spacing w:val="6"/>
        </w:rPr>
        <w:t xml:space="preserve"> is here to support you. With features like virtual GP consultations, mental health counselling, and physiotherapy, you can access the care you need, when you need it, right from your smartphone.</w:t>
      </w:r>
      <w:r>
        <w:rPr>
          <w:rFonts w:ascii="Arial" w:eastAsia="Times New Roman" w:hAnsi="Arial" w:cs="Arial"/>
          <w:spacing w:val="6"/>
        </w:rPr>
        <w:t xml:space="preserve"> </w:t>
      </w:r>
      <w:hyperlink r:id="rId9" w:history="1">
        <w:r w:rsidRPr="00A06259">
          <w:rPr>
            <w:rStyle w:val="Hyperlink"/>
            <w:rFonts w:ascii="Arial" w:hAnsi="Arial" w:cs="Arial"/>
          </w:rPr>
          <w:t>Employee Assistance Programme – Colart Intranet</w:t>
        </w:r>
      </w:hyperlink>
    </w:p>
    <w:p w14:paraId="435BADC0" w14:textId="77777777" w:rsidR="004716EA" w:rsidRPr="00CB7A09" w:rsidRDefault="004716EA" w:rsidP="00A9035F">
      <w:pPr>
        <w:pStyle w:val="ListParagraph"/>
        <w:numPr>
          <w:ilvl w:val="0"/>
          <w:numId w:val="5"/>
        </w:numPr>
        <w:spacing w:before="60" w:after="60" w:line="264" w:lineRule="auto"/>
        <w:rPr>
          <w:rFonts w:ascii="Arial" w:hAnsi="Arial" w:cs="Arial"/>
          <w:b/>
          <w:bCs/>
          <w:sz w:val="24"/>
          <w:szCs w:val="24"/>
        </w:rPr>
      </w:pPr>
      <w:r w:rsidRPr="00CB7A09">
        <w:rPr>
          <w:rFonts w:ascii="Arial" w:hAnsi="Arial" w:cs="Arial"/>
          <w:b/>
          <w:bCs/>
          <w:sz w:val="24"/>
          <w:szCs w:val="24"/>
        </w:rPr>
        <w:t>Policy Review</w:t>
      </w:r>
    </w:p>
    <w:p w14:paraId="2F25822E" w14:textId="77777777" w:rsidR="004716EA" w:rsidRDefault="004716EA" w:rsidP="004716EA">
      <w:pPr>
        <w:spacing w:before="60" w:after="60" w:line="264" w:lineRule="auto"/>
        <w:ind w:left="360"/>
        <w:jc w:val="both"/>
        <w:rPr>
          <w:rFonts w:ascii="Arial" w:hAnsi="Arial" w:cs="Arial"/>
        </w:rPr>
      </w:pPr>
      <w:r w:rsidRPr="00CB7A09">
        <w:rPr>
          <w:rFonts w:ascii="Arial" w:hAnsi="Arial" w:cs="Arial"/>
        </w:rPr>
        <w:t>This policy will be reviewed annually and updated as necessary to ensure compliance with legal standards and alignment with company objectives.</w:t>
      </w:r>
    </w:p>
    <w:p w14:paraId="4CFFF9F9" w14:textId="77777777" w:rsidR="004716EA" w:rsidRPr="004349BF" w:rsidRDefault="004716EA" w:rsidP="004716EA">
      <w:pPr>
        <w:spacing w:before="60" w:after="60" w:line="264" w:lineRule="auto"/>
        <w:ind w:left="360"/>
        <w:jc w:val="both"/>
        <w:rPr>
          <w:rFonts w:ascii="Arial" w:hAnsi="Arial" w:cs="Arial"/>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4252"/>
        <w:gridCol w:w="1985"/>
      </w:tblGrid>
      <w:tr w:rsidR="004716EA" w:rsidRPr="004349BF" w14:paraId="085EF0D3" w14:textId="77777777" w:rsidTr="00257810">
        <w:trPr>
          <w:tblCellSpacing w:w="20" w:type="dxa"/>
          <w:jc w:val="center"/>
        </w:trPr>
        <w:tc>
          <w:tcPr>
            <w:tcW w:w="2655" w:type="dxa"/>
            <w:shd w:val="clear" w:color="auto" w:fill="auto"/>
          </w:tcPr>
          <w:p w14:paraId="1325A871" w14:textId="77777777" w:rsidR="004716EA" w:rsidRPr="004349BF" w:rsidRDefault="004716EA" w:rsidP="00257810">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Date</w:t>
            </w:r>
          </w:p>
        </w:tc>
        <w:tc>
          <w:tcPr>
            <w:tcW w:w="4212" w:type="dxa"/>
            <w:shd w:val="clear" w:color="auto" w:fill="auto"/>
          </w:tcPr>
          <w:p w14:paraId="26BBA881" w14:textId="77777777" w:rsidR="004716EA" w:rsidRPr="004349BF" w:rsidRDefault="004716EA" w:rsidP="00257810">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Amendment</w:t>
            </w:r>
          </w:p>
        </w:tc>
        <w:tc>
          <w:tcPr>
            <w:tcW w:w="1925" w:type="dxa"/>
            <w:shd w:val="clear" w:color="auto" w:fill="auto"/>
          </w:tcPr>
          <w:p w14:paraId="083C3236" w14:textId="77777777" w:rsidR="004716EA" w:rsidRPr="004349BF" w:rsidRDefault="004716EA" w:rsidP="00257810">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Version</w:t>
            </w:r>
          </w:p>
        </w:tc>
      </w:tr>
      <w:tr w:rsidR="004716EA" w:rsidRPr="004349BF" w14:paraId="1FA71B43" w14:textId="77777777" w:rsidTr="00257810">
        <w:trPr>
          <w:tblCellSpacing w:w="20" w:type="dxa"/>
          <w:jc w:val="center"/>
        </w:trPr>
        <w:tc>
          <w:tcPr>
            <w:tcW w:w="2655" w:type="dxa"/>
            <w:shd w:val="clear" w:color="auto" w:fill="auto"/>
          </w:tcPr>
          <w:p w14:paraId="3D4992C3"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2E0604">
              <w:rPr>
                <w:rFonts w:ascii="Arial" w:eastAsia="MS Mincho" w:hAnsi="Arial" w:cs="Arial"/>
                <w:kern w:val="0"/>
                <w:lang w:val="en-US"/>
                <w14:ligatures w14:val="none"/>
              </w:rPr>
              <w:t>January 2025</w:t>
            </w:r>
          </w:p>
        </w:tc>
        <w:tc>
          <w:tcPr>
            <w:tcW w:w="4212" w:type="dxa"/>
            <w:shd w:val="clear" w:color="auto" w:fill="auto"/>
          </w:tcPr>
          <w:p w14:paraId="4A9020F3"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 xml:space="preserve">New policy for </w:t>
            </w:r>
            <w:r w:rsidRPr="002E0604">
              <w:rPr>
                <w:rFonts w:ascii="Arial" w:eastAsia="MS Mincho" w:hAnsi="Arial" w:cs="Arial"/>
                <w:kern w:val="0"/>
                <w:lang w:val="en-US"/>
                <w14:ligatures w14:val="none"/>
              </w:rPr>
              <w:t>Colart</w:t>
            </w:r>
          </w:p>
        </w:tc>
        <w:tc>
          <w:tcPr>
            <w:tcW w:w="1925" w:type="dxa"/>
            <w:shd w:val="clear" w:color="auto" w:fill="auto"/>
          </w:tcPr>
          <w:p w14:paraId="164CE984"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1.0</w:t>
            </w:r>
          </w:p>
        </w:tc>
      </w:tr>
    </w:tbl>
    <w:tbl>
      <w:tblPr>
        <w:tblpPr w:leftFromText="180" w:rightFromText="180" w:vertAnchor="text" w:horzAnchor="margin" w:tblpXSpec="center" w:tblpY="283"/>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6237"/>
      </w:tblGrid>
      <w:tr w:rsidR="004716EA" w:rsidRPr="004349BF" w14:paraId="04DF2FC3" w14:textId="77777777" w:rsidTr="00257810">
        <w:trPr>
          <w:tblCellSpacing w:w="20" w:type="dxa"/>
        </w:trPr>
        <w:tc>
          <w:tcPr>
            <w:tcW w:w="2655" w:type="dxa"/>
            <w:shd w:val="clear" w:color="auto" w:fill="auto"/>
          </w:tcPr>
          <w:p w14:paraId="68CD968E"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Author</w:t>
            </w:r>
          </w:p>
        </w:tc>
        <w:tc>
          <w:tcPr>
            <w:tcW w:w="6177" w:type="dxa"/>
            <w:shd w:val="clear" w:color="auto" w:fill="auto"/>
          </w:tcPr>
          <w:p w14:paraId="3215AEC9"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2E0604">
              <w:rPr>
                <w:rFonts w:ascii="Arial" w:eastAsia="MS Mincho" w:hAnsi="Arial" w:cs="Arial"/>
                <w:kern w:val="0"/>
                <w:lang w:val="en-US"/>
                <w14:ligatures w14:val="none"/>
              </w:rPr>
              <w:t>HR Business Partner</w:t>
            </w:r>
          </w:p>
        </w:tc>
      </w:tr>
      <w:tr w:rsidR="004716EA" w:rsidRPr="004349BF" w14:paraId="510BA6DB" w14:textId="77777777" w:rsidTr="00257810">
        <w:trPr>
          <w:tblCellSpacing w:w="20" w:type="dxa"/>
        </w:trPr>
        <w:tc>
          <w:tcPr>
            <w:tcW w:w="2655" w:type="dxa"/>
            <w:shd w:val="clear" w:color="auto" w:fill="auto"/>
          </w:tcPr>
          <w:p w14:paraId="1F6E3834"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Effective date</w:t>
            </w:r>
          </w:p>
        </w:tc>
        <w:tc>
          <w:tcPr>
            <w:tcW w:w="6177" w:type="dxa"/>
            <w:shd w:val="clear" w:color="auto" w:fill="auto"/>
          </w:tcPr>
          <w:p w14:paraId="626ED5C4" w14:textId="47EF9B33" w:rsidR="004716EA" w:rsidRPr="004349BF" w:rsidRDefault="009351D9" w:rsidP="00257810">
            <w:pPr>
              <w:spacing w:before="120" w:after="120" w:line="240" w:lineRule="auto"/>
              <w:rPr>
                <w:rFonts w:ascii="Arial" w:eastAsia="MS Mincho" w:hAnsi="Arial" w:cs="Arial"/>
                <w:kern w:val="0"/>
                <w:lang w:val="en-US"/>
                <w14:ligatures w14:val="none"/>
              </w:rPr>
            </w:pPr>
            <w:r>
              <w:rPr>
                <w:rFonts w:ascii="Arial" w:eastAsia="MS Mincho" w:hAnsi="Arial" w:cs="Arial"/>
                <w:kern w:val="0"/>
                <w:lang w:val="en-US"/>
                <w14:ligatures w14:val="none"/>
              </w:rPr>
              <w:t>May 2025</w:t>
            </w:r>
          </w:p>
        </w:tc>
      </w:tr>
      <w:tr w:rsidR="004716EA" w:rsidRPr="004349BF" w14:paraId="05B15DBC" w14:textId="77777777" w:rsidTr="00257810">
        <w:trPr>
          <w:tblCellSpacing w:w="20" w:type="dxa"/>
        </w:trPr>
        <w:tc>
          <w:tcPr>
            <w:tcW w:w="2655" w:type="dxa"/>
            <w:shd w:val="clear" w:color="auto" w:fill="auto"/>
          </w:tcPr>
          <w:p w14:paraId="32175AC7"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Policy owner</w:t>
            </w:r>
          </w:p>
        </w:tc>
        <w:tc>
          <w:tcPr>
            <w:tcW w:w="6177" w:type="dxa"/>
            <w:shd w:val="clear" w:color="auto" w:fill="auto"/>
          </w:tcPr>
          <w:p w14:paraId="45025631" w14:textId="77777777" w:rsidR="004716EA" w:rsidRPr="004349BF" w:rsidRDefault="004716EA" w:rsidP="00257810">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HR Director</w:t>
            </w:r>
            <w:r>
              <w:rPr>
                <w:rFonts w:ascii="Arial" w:eastAsia="MS Mincho" w:hAnsi="Arial" w:cs="Arial"/>
                <w:kern w:val="0"/>
                <w:lang w:val="en-US"/>
                <w14:ligatures w14:val="none"/>
              </w:rPr>
              <w:t xml:space="preserve"> UK</w:t>
            </w:r>
          </w:p>
        </w:tc>
      </w:tr>
    </w:tbl>
    <w:p w14:paraId="78FE003A" w14:textId="77777777" w:rsidR="004716EA" w:rsidRPr="004716EA" w:rsidRDefault="004716EA" w:rsidP="004716EA">
      <w:pPr>
        <w:ind w:left="360"/>
        <w:jc w:val="both"/>
        <w:rPr>
          <w:rFonts w:ascii="Arial" w:hAnsi="Arial" w:cs="Arial"/>
        </w:rPr>
      </w:pPr>
    </w:p>
    <w:sectPr w:rsidR="004716EA" w:rsidRPr="004716EA" w:rsidSect="00D95FA0">
      <w:footerReference w:type="default" r:id="rId10"/>
      <w:footerReference w:type="first" r:id="rId1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989D" w14:textId="77777777" w:rsidR="004C4B19" w:rsidRDefault="004C4B19" w:rsidP="002C524E">
      <w:pPr>
        <w:spacing w:after="0" w:line="240" w:lineRule="auto"/>
      </w:pPr>
      <w:r>
        <w:separator/>
      </w:r>
    </w:p>
  </w:endnote>
  <w:endnote w:type="continuationSeparator" w:id="0">
    <w:p w14:paraId="3F9B9F64" w14:textId="77777777" w:rsidR="004C4B19" w:rsidRDefault="004C4B19" w:rsidP="002C524E">
      <w:pPr>
        <w:spacing w:after="0" w:line="240" w:lineRule="auto"/>
      </w:pPr>
      <w:r>
        <w:continuationSeparator/>
      </w:r>
    </w:p>
  </w:endnote>
  <w:endnote w:type="continuationNotice" w:id="1">
    <w:p w14:paraId="0DFF675B" w14:textId="77777777" w:rsidR="004C4B19" w:rsidRDefault="004C4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90272"/>
      <w:docPartObj>
        <w:docPartGallery w:val="Page Numbers (Bottom of Page)"/>
        <w:docPartUnique/>
      </w:docPartObj>
    </w:sdtPr>
    <w:sdtEndPr/>
    <w:sdtContent>
      <w:sdt>
        <w:sdtPr>
          <w:id w:val="-1769616900"/>
          <w:docPartObj>
            <w:docPartGallery w:val="Page Numbers (Top of Page)"/>
            <w:docPartUnique/>
          </w:docPartObj>
        </w:sdtPr>
        <w:sdtEndPr/>
        <w:sdtContent>
          <w:p w14:paraId="680F3FFE" w14:textId="71D43DE3" w:rsidR="00D95FA0" w:rsidRDefault="00D95F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1F0B92" w14:textId="77777777" w:rsidR="00D95FA0" w:rsidRDefault="00D9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735538278"/>
      <w:docPartObj>
        <w:docPartGallery w:val="Page Numbers (Bottom of Page)"/>
        <w:docPartUnique/>
      </w:docPartObj>
    </w:sdtPr>
    <w:sdtEndPr/>
    <w:sdtContent>
      <w:sdt>
        <w:sdtPr>
          <w:rPr>
            <w:color w:val="404040" w:themeColor="text1" w:themeTint="BF"/>
          </w:rPr>
          <w:id w:val="-1946380090"/>
          <w:docPartObj>
            <w:docPartGallery w:val="Page Numbers (Top of Page)"/>
            <w:docPartUnique/>
          </w:docPartObj>
        </w:sdtPr>
        <w:sdtEndPr/>
        <w:sdtContent>
          <w:p w14:paraId="540ABC56" w14:textId="77777777" w:rsidR="00D26D82" w:rsidRPr="00D26D82" w:rsidRDefault="00D26D82">
            <w:pPr>
              <w:pStyle w:val="Footer"/>
              <w:jc w:val="right"/>
              <w:rPr>
                <w:color w:val="404040" w:themeColor="text1" w:themeTint="BF"/>
              </w:rPr>
            </w:pPr>
          </w:p>
          <w:p w14:paraId="235690DD" w14:textId="74DCC1FB" w:rsidR="00D26D82" w:rsidRPr="00D26D82" w:rsidRDefault="00D26D82" w:rsidP="00D26D82">
            <w:pPr>
              <w:pStyle w:val="Footer"/>
              <w:ind w:right="110"/>
              <w:jc w:val="right"/>
              <w:rPr>
                <w:color w:val="404040" w:themeColor="text1" w:themeTint="BF"/>
              </w:rPr>
            </w:pPr>
            <w:r w:rsidRPr="00D26D82">
              <w:rPr>
                <w:color w:val="404040" w:themeColor="text1" w:themeTint="BF"/>
              </w:rPr>
              <w:t xml:space="preserve">Page </w:t>
            </w:r>
            <w:r w:rsidRPr="00D26D82">
              <w:rPr>
                <w:b/>
                <w:bCs/>
                <w:color w:val="404040" w:themeColor="text1" w:themeTint="BF"/>
                <w:sz w:val="24"/>
                <w:szCs w:val="24"/>
              </w:rPr>
              <w:fldChar w:fldCharType="begin"/>
            </w:r>
            <w:r w:rsidRPr="00D26D82">
              <w:rPr>
                <w:b/>
                <w:bCs/>
                <w:color w:val="404040" w:themeColor="text1" w:themeTint="BF"/>
              </w:rPr>
              <w:instrText xml:space="preserve"> PAGE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r w:rsidRPr="00D26D82">
              <w:rPr>
                <w:color w:val="404040" w:themeColor="text1" w:themeTint="BF"/>
              </w:rPr>
              <w:t xml:space="preserve"> of </w:t>
            </w:r>
            <w:r w:rsidRPr="00D26D82">
              <w:rPr>
                <w:b/>
                <w:bCs/>
                <w:color w:val="404040" w:themeColor="text1" w:themeTint="BF"/>
                <w:sz w:val="24"/>
                <w:szCs w:val="24"/>
              </w:rPr>
              <w:fldChar w:fldCharType="begin"/>
            </w:r>
            <w:r w:rsidRPr="00D26D82">
              <w:rPr>
                <w:b/>
                <w:bCs/>
                <w:color w:val="404040" w:themeColor="text1" w:themeTint="BF"/>
              </w:rPr>
              <w:instrText xml:space="preserve"> NUMPAGES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p>
        </w:sdtContent>
      </w:sdt>
    </w:sdtContent>
  </w:sdt>
  <w:p w14:paraId="1DF47377" w14:textId="71130A45" w:rsidR="00D26D82" w:rsidRPr="00D26D82" w:rsidRDefault="008401CD" w:rsidP="00D26D82">
    <w:pPr>
      <w:rPr>
        <w:rFonts w:ascii="Arial" w:hAnsi="Arial" w:cs="Arial"/>
        <w:color w:val="404040" w:themeColor="text1" w:themeTint="BF"/>
        <w:sz w:val="24"/>
        <w:szCs w:val="24"/>
      </w:rPr>
    </w:pPr>
    <w:r>
      <w:rPr>
        <w:rFonts w:ascii="Arial" w:hAnsi="Arial" w:cs="Arial"/>
        <w:color w:val="404040" w:themeColor="text1" w:themeTint="BF"/>
        <w:sz w:val="24"/>
        <w:szCs w:val="24"/>
      </w:rPr>
      <w:t>Occupation Health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B159" w14:textId="77777777" w:rsidR="004C4B19" w:rsidRDefault="004C4B19" w:rsidP="002C524E">
      <w:pPr>
        <w:spacing w:after="0" w:line="240" w:lineRule="auto"/>
      </w:pPr>
      <w:r>
        <w:separator/>
      </w:r>
    </w:p>
  </w:footnote>
  <w:footnote w:type="continuationSeparator" w:id="0">
    <w:p w14:paraId="194AC739" w14:textId="77777777" w:rsidR="004C4B19" w:rsidRDefault="004C4B19" w:rsidP="002C524E">
      <w:pPr>
        <w:spacing w:after="0" w:line="240" w:lineRule="auto"/>
      </w:pPr>
      <w:r>
        <w:continuationSeparator/>
      </w:r>
    </w:p>
  </w:footnote>
  <w:footnote w:type="continuationNotice" w:id="1">
    <w:p w14:paraId="23053D39" w14:textId="77777777" w:rsidR="004C4B19" w:rsidRDefault="004C4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7282"/>
    <w:multiLevelType w:val="hybridMultilevel"/>
    <w:tmpl w:val="3E5CA5B2"/>
    <w:lvl w:ilvl="0" w:tplc="FFFFFFFF">
      <w:start w:val="1"/>
      <w:numFmt w:val="lowerLetter"/>
      <w:lvlText w:val="%1)"/>
      <w:lvlJc w:val="left"/>
      <w:pPr>
        <w:ind w:left="3960" w:hanging="360"/>
      </w:pPr>
      <w:rPr>
        <w:rFonts w:ascii="Times New Roman" w:eastAsia="Times New Roman" w:hAnsi="Times New Roman" w:cs="Times New Roman"/>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 w15:restartNumberingAfterBreak="0">
    <w:nsid w:val="12142B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22F73"/>
    <w:multiLevelType w:val="hybridMultilevel"/>
    <w:tmpl w:val="2ADA5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7823C5"/>
    <w:multiLevelType w:val="hybridMultilevel"/>
    <w:tmpl w:val="C1323C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2517DF3"/>
    <w:multiLevelType w:val="hybridMultilevel"/>
    <w:tmpl w:val="129ADEB4"/>
    <w:lvl w:ilvl="0" w:tplc="FFFFFFFF">
      <w:start w:val="1"/>
      <w:numFmt w:val="lowerLetter"/>
      <w:lvlText w:val="%1)"/>
      <w:lvlJc w:val="left"/>
      <w:pPr>
        <w:ind w:left="3960" w:hanging="360"/>
      </w:pPr>
      <w:rPr>
        <w:rFonts w:asciiTheme="minorHAnsi" w:eastAsiaTheme="minorHAnsi" w:hAnsiTheme="minorHAnsi" w:cstheme="minorBidi"/>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5" w15:restartNumberingAfterBreak="0">
    <w:nsid w:val="32D554A3"/>
    <w:multiLevelType w:val="hybridMultilevel"/>
    <w:tmpl w:val="55565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DE1F17"/>
    <w:multiLevelType w:val="hybridMultilevel"/>
    <w:tmpl w:val="76C4CDCA"/>
    <w:lvl w:ilvl="0" w:tplc="5C94F98C">
      <w:start w:val="1"/>
      <w:numFmt w:val="lowerLetter"/>
      <w:lvlText w:val="%1)"/>
      <w:lvlJc w:val="left"/>
      <w:pPr>
        <w:ind w:left="3960" w:hanging="360"/>
      </w:pPr>
      <w:rPr>
        <w:rFonts w:asciiTheme="minorHAnsi" w:eastAsiaTheme="minorHAnsi" w:hAnsiTheme="minorHAnsi" w:cstheme="minorBidi"/>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7" w15:restartNumberingAfterBreak="0">
    <w:nsid w:val="4F802D65"/>
    <w:multiLevelType w:val="multilevel"/>
    <w:tmpl w:val="6AE07A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B4443"/>
    <w:multiLevelType w:val="hybridMultilevel"/>
    <w:tmpl w:val="460E0F9A"/>
    <w:lvl w:ilvl="0" w:tplc="0809000F">
      <w:start w:val="1"/>
      <w:numFmt w:val="decimal"/>
      <w:lvlText w:val="%1."/>
      <w:lvlJc w:val="left"/>
      <w:pPr>
        <w:ind w:left="360" w:hanging="360"/>
      </w:pPr>
    </w:lvl>
    <w:lvl w:ilvl="1" w:tplc="EDD6F2D6">
      <w:numFmt w:val="bullet"/>
      <w:lvlText w:val="•"/>
      <w:lvlJc w:val="left"/>
      <w:pPr>
        <w:ind w:left="1080" w:hanging="36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1494780"/>
    <w:multiLevelType w:val="hybridMultilevel"/>
    <w:tmpl w:val="EDD4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59509223">
    <w:abstractNumId w:val="6"/>
  </w:num>
  <w:num w:numId="2" w16cid:durableId="1233351041">
    <w:abstractNumId w:val="9"/>
  </w:num>
  <w:num w:numId="3" w16cid:durableId="455638442">
    <w:abstractNumId w:val="4"/>
  </w:num>
  <w:num w:numId="4" w16cid:durableId="1017927897">
    <w:abstractNumId w:val="0"/>
  </w:num>
  <w:num w:numId="5" w16cid:durableId="769161349">
    <w:abstractNumId w:val="1"/>
  </w:num>
  <w:num w:numId="6" w16cid:durableId="1681084718">
    <w:abstractNumId w:val="3"/>
  </w:num>
  <w:num w:numId="7" w16cid:durableId="466321150">
    <w:abstractNumId w:val="5"/>
  </w:num>
  <w:num w:numId="8" w16cid:durableId="271328862">
    <w:abstractNumId w:val="2"/>
  </w:num>
  <w:num w:numId="9" w16cid:durableId="163403789">
    <w:abstractNumId w:val="7"/>
  </w:num>
  <w:num w:numId="10" w16cid:durableId="2047442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0E"/>
    <w:rsid w:val="000051BB"/>
    <w:rsid w:val="00027493"/>
    <w:rsid w:val="00057718"/>
    <w:rsid w:val="00067337"/>
    <w:rsid w:val="00082308"/>
    <w:rsid w:val="000A4CEB"/>
    <w:rsid w:val="000A6BA5"/>
    <w:rsid w:val="000C3753"/>
    <w:rsid w:val="000C6868"/>
    <w:rsid w:val="00151961"/>
    <w:rsid w:val="00172109"/>
    <w:rsid w:val="00173BCA"/>
    <w:rsid w:val="0017579D"/>
    <w:rsid w:val="0019164A"/>
    <w:rsid w:val="00193A99"/>
    <w:rsid w:val="001A0F0E"/>
    <w:rsid w:val="001B19F1"/>
    <w:rsid w:val="001D4982"/>
    <w:rsid w:val="001E2988"/>
    <w:rsid w:val="001F1422"/>
    <w:rsid w:val="001F1D03"/>
    <w:rsid w:val="00220CAA"/>
    <w:rsid w:val="00232CDC"/>
    <w:rsid w:val="00244901"/>
    <w:rsid w:val="0025598A"/>
    <w:rsid w:val="0026267D"/>
    <w:rsid w:val="00264EAE"/>
    <w:rsid w:val="002868E4"/>
    <w:rsid w:val="002A0662"/>
    <w:rsid w:val="002B7285"/>
    <w:rsid w:val="002C524E"/>
    <w:rsid w:val="002C7D48"/>
    <w:rsid w:val="002D4274"/>
    <w:rsid w:val="00303E8B"/>
    <w:rsid w:val="00304695"/>
    <w:rsid w:val="003054F8"/>
    <w:rsid w:val="00310AA5"/>
    <w:rsid w:val="00313E21"/>
    <w:rsid w:val="00316D9F"/>
    <w:rsid w:val="00346E26"/>
    <w:rsid w:val="00373374"/>
    <w:rsid w:val="003754E4"/>
    <w:rsid w:val="00380683"/>
    <w:rsid w:val="00391857"/>
    <w:rsid w:val="00391D04"/>
    <w:rsid w:val="003B3E50"/>
    <w:rsid w:val="003C687F"/>
    <w:rsid w:val="003E1250"/>
    <w:rsid w:val="003F4177"/>
    <w:rsid w:val="0040129C"/>
    <w:rsid w:val="00405D80"/>
    <w:rsid w:val="004716EA"/>
    <w:rsid w:val="004856A2"/>
    <w:rsid w:val="004B5187"/>
    <w:rsid w:val="004C4B19"/>
    <w:rsid w:val="004F4084"/>
    <w:rsid w:val="00531236"/>
    <w:rsid w:val="005315EB"/>
    <w:rsid w:val="00536354"/>
    <w:rsid w:val="00542EEC"/>
    <w:rsid w:val="00546D7E"/>
    <w:rsid w:val="0057146F"/>
    <w:rsid w:val="005A0267"/>
    <w:rsid w:val="005B55BF"/>
    <w:rsid w:val="005C53C0"/>
    <w:rsid w:val="005F5E00"/>
    <w:rsid w:val="006111EB"/>
    <w:rsid w:val="00614767"/>
    <w:rsid w:val="00625EC9"/>
    <w:rsid w:val="00636B2B"/>
    <w:rsid w:val="006658DE"/>
    <w:rsid w:val="006717E8"/>
    <w:rsid w:val="00672B3D"/>
    <w:rsid w:val="006771A8"/>
    <w:rsid w:val="00685242"/>
    <w:rsid w:val="006C31F1"/>
    <w:rsid w:val="00710269"/>
    <w:rsid w:val="00714580"/>
    <w:rsid w:val="00752E92"/>
    <w:rsid w:val="007A143F"/>
    <w:rsid w:val="007E31BA"/>
    <w:rsid w:val="0080088A"/>
    <w:rsid w:val="008219E6"/>
    <w:rsid w:val="00833BCC"/>
    <w:rsid w:val="008401CD"/>
    <w:rsid w:val="008A567E"/>
    <w:rsid w:val="008A66BA"/>
    <w:rsid w:val="008C0967"/>
    <w:rsid w:val="008C18D2"/>
    <w:rsid w:val="008D2DC2"/>
    <w:rsid w:val="008D781D"/>
    <w:rsid w:val="008F0A7D"/>
    <w:rsid w:val="008F4DEC"/>
    <w:rsid w:val="0091498D"/>
    <w:rsid w:val="009253A4"/>
    <w:rsid w:val="00926F9B"/>
    <w:rsid w:val="00932BB3"/>
    <w:rsid w:val="0093320D"/>
    <w:rsid w:val="009351D9"/>
    <w:rsid w:val="00935299"/>
    <w:rsid w:val="00954AFE"/>
    <w:rsid w:val="00957991"/>
    <w:rsid w:val="00971B40"/>
    <w:rsid w:val="0098099C"/>
    <w:rsid w:val="009B6737"/>
    <w:rsid w:val="009C7E41"/>
    <w:rsid w:val="009F7AF1"/>
    <w:rsid w:val="00A0604F"/>
    <w:rsid w:val="00A307ED"/>
    <w:rsid w:val="00A50B68"/>
    <w:rsid w:val="00A56211"/>
    <w:rsid w:val="00A73890"/>
    <w:rsid w:val="00A814FF"/>
    <w:rsid w:val="00A81F5C"/>
    <w:rsid w:val="00A9035F"/>
    <w:rsid w:val="00AA46EE"/>
    <w:rsid w:val="00AA6EF3"/>
    <w:rsid w:val="00AA715C"/>
    <w:rsid w:val="00AC6C6E"/>
    <w:rsid w:val="00AD6E64"/>
    <w:rsid w:val="00AE3D0A"/>
    <w:rsid w:val="00B1332A"/>
    <w:rsid w:val="00B3161F"/>
    <w:rsid w:val="00B43620"/>
    <w:rsid w:val="00B513B2"/>
    <w:rsid w:val="00B558C2"/>
    <w:rsid w:val="00B865DA"/>
    <w:rsid w:val="00B9054A"/>
    <w:rsid w:val="00B96DEE"/>
    <w:rsid w:val="00BB104F"/>
    <w:rsid w:val="00BD0C4F"/>
    <w:rsid w:val="00BD7568"/>
    <w:rsid w:val="00C22C08"/>
    <w:rsid w:val="00C3406F"/>
    <w:rsid w:val="00C40EDD"/>
    <w:rsid w:val="00C6746C"/>
    <w:rsid w:val="00C80B65"/>
    <w:rsid w:val="00C85AD5"/>
    <w:rsid w:val="00CA16AC"/>
    <w:rsid w:val="00CC703A"/>
    <w:rsid w:val="00CE1138"/>
    <w:rsid w:val="00CE5B79"/>
    <w:rsid w:val="00D00B5F"/>
    <w:rsid w:val="00D0467C"/>
    <w:rsid w:val="00D22CC3"/>
    <w:rsid w:val="00D26D82"/>
    <w:rsid w:val="00D95FA0"/>
    <w:rsid w:val="00DA2D38"/>
    <w:rsid w:val="00DE7779"/>
    <w:rsid w:val="00DF1DD7"/>
    <w:rsid w:val="00DF7AE1"/>
    <w:rsid w:val="00E1482D"/>
    <w:rsid w:val="00E333DB"/>
    <w:rsid w:val="00E4194A"/>
    <w:rsid w:val="00E523D7"/>
    <w:rsid w:val="00E620FE"/>
    <w:rsid w:val="00E92299"/>
    <w:rsid w:val="00EA46FB"/>
    <w:rsid w:val="00EA50FC"/>
    <w:rsid w:val="00EB531D"/>
    <w:rsid w:val="00EE0E36"/>
    <w:rsid w:val="00EF2CA5"/>
    <w:rsid w:val="00F176C0"/>
    <w:rsid w:val="00F45EC6"/>
    <w:rsid w:val="00F46A7B"/>
    <w:rsid w:val="00F53CB3"/>
    <w:rsid w:val="00F63B2A"/>
    <w:rsid w:val="00F6710F"/>
    <w:rsid w:val="00F754E6"/>
    <w:rsid w:val="00F75CD3"/>
    <w:rsid w:val="00F76C22"/>
    <w:rsid w:val="00FF7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9A7F"/>
  <w15:chartTrackingRefBased/>
  <w15:docId w15:val="{C1F03167-BCD2-4192-A987-4BAD991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61"/>
  </w:style>
  <w:style w:type="paragraph" w:styleId="Heading1">
    <w:name w:val="heading 1"/>
    <w:basedOn w:val="Normal"/>
    <w:next w:val="Normal"/>
    <w:link w:val="Heading1Char"/>
    <w:uiPriority w:val="9"/>
    <w:qFormat/>
    <w:rsid w:val="001A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0E"/>
    <w:rPr>
      <w:rFonts w:eastAsiaTheme="majorEastAsia" w:cstheme="majorBidi"/>
      <w:color w:val="272727" w:themeColor="text1" w:themeTint="D8"/>
    </w:rPr>
  </w:style>
  <w:style w:type="paragraph" w:styleId="Title">
    <w:name w:val="Title"/>
    <w:basedOn w:val="Normal"/>
    <w:next w:val="Normal"/>
    <w:link w:val="TitleChar"/>
    <w:uiPriority w:val="10"/>
    <w:qFormat/>
    <w:rsid w:val="001A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F0E"/>
    <w:pPr>
      <w:spacing w:before="160"/>
      <w:jc w:val="center"/>
    </w:pPr>
    <w:rPr>
      <w:i/>
      <w:iCs/>
      <w:color w:val="404040" w:themeColor="text1" w:themeTint="BF"/>
    </w:rPr>
  </w:style>
  <w:style w:type="character" w:customStyle="1" w:styleId="QuoteChar">
    <w:name w:val="Quote Char"/>
    <w:basedOn w:val="DefaultParagraphFont"/>
    <w:link w:val="Quote"/>
    <w:uiPriority w:val="29"/>
    <w:rsid w:val="001A0F0E"/>
    <w:rPr>
      <w:i/>
      <w:iCs/>
      <w:color w:val="404040" w:themeColor="text1" w:themeTint="BF"/>
    </w:rPr>
  </w:style>
  <w:style w:type="paragraph" w:styleId="ListParagraph">
    <w:name w:val="List Paragraph"/>
    <w:basedOn w:val="Normal"/>
    <w:uiPriority w:val="34"/>
    <w:qFormat/>
    <w:rsid w:val="001A0F0E"/>
    <w:pPr>
      <w:ind w:left="720"/>
      <w:contextualSpacing/>
    </w:pPr>
  </w:style>
  <w:style w:type="character" w:styleId="IntenseEmphasis">
    <w:name w:val="Intense Emphasis"/>
    <w:basedOn w:val="DefaultParagraphFont"/>
    <w:uiPriority w:val="21"/>
    <w:qFormat/>
    <w:rsid w:val="001A0F0E"/>
    <w:rPr>
      <w:i/>
      <w:iCs/>
      <w:color w:val="0F4761" w:themeColor="accent1" w:themeShade="BF"/>
    </w:rPr>
  </w:style>
  <w:style w:type="paragraph" w:styleId="IntenseQuote">
    <w:name w:val="Intense Quote"/>
    <w:basedOn w:val="Normal"/>
    <w:next w:val="Normal"/>
    <w:link w:val="IntenseQuoteChar"/>
    <w:uiPriority w:val="30"/>
    <w:qFormat/>
    <w:rsid w:val="001A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F0E"/>
    <w:rPr>
      <w:i/>
      <w:iCs/>
      <w:color w:val="0F4761" w:themeColor="accent1" w:themeShade="BF"/>
    </w:rPr>
  </w:style>
  <w:style w:type="character" w:styleId="IntenseReference">
    <w:name w:val="Intense Reference"/>
    <w:basedOn w:val="DefaultParagraphFont"/>
    <w:uiPriority w:val="32"/>
    <w:qFormat/>
    <w:rsid w:val="001A0F0E"/>
    <w:rPr>
      <w:b/>
      <w:bCs/>
      <w:smallCaps/>
      <w:color w:val="0F4761" w:themeColor="accent1" w:themeShade="BF"/>
      <w:spacing w:val="5"/>
    </w:rPr>
  </w:style>
  <w:style w:type="paragraph" w:styleId="Header">
    <w:name w:val="header"/>
    <w:basedOn w:val="Normal"/>
    <w:link w:val="HeaderChar"/>
    <w:uiPriority w:val="99"/>
    <w:unhideWhenUsed/>
    <w:rsid w:val="002C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4E"/>
  </w:style>
  <w:style w:type="paragraph" w:styleId="Footer">
    <w:name w:val="footer"/>
    <w:basedOn w:val="Normal"/>
    <w:link w:val="FooterChar"/>
    <w:uiPriority w:val="99"/>
    <w:unhideWhenUsed/>
    <w:rsid w:val="002C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4E"/>
  </w:style>
  <w:style w:type="character" w:styleId="Hyperlink">
    <w:name w:val="Hyperlink"/>
    <w:basedOn w:val="DefaultParagraphFont"/>
    <w:uiPriority w:val="99"/>
    <w:unhideWhenUsed/>
    <w:rsid w:val="004716EA"/>
    <w:rPr>
      <w:color w:val="467886" w:themeColor="hyperlink"/>
      <w:u w:val="single"/>
    </w:rPr>
  </w:style>
  <w:style w:type="character" w:styleId="CommentReference">
    <w:name w:val="annotation reference"/>
    <w:basedOn w:val="DefaultParagraphFont"/>
    <w:uiPriority w:val="99"/>
    <w:semiHidden/>
    <w:unhideWhenUsed/>
    <w:rsid w:val="00531236"/>
    <w:rPr>
      <w:sz w:val="16"/>
      <w:szCs w:val="16"/>
    </w:rPr>
  </w:style>
  <w:style w:type="paragraph" w:styleId="CommentText">
    <w:name w:val="annotation text"/>
    <w:basedOn w:val="Normal"/>
    <w:link w:val="CommentTextChar"/>
    <w:uiPriority w:val="99"/>
    <w:unhideWhenUsed/>
    <w:rsid w:val="00531236"/>
    <w:pPr>
      <w:spacing w:line="240" w:lineRule="auto"/>
    </w:pPr>
    <w:rPr>
      <w:sz w:val="20"/>
      <w:szCs w:val="20"/>
    </w:rPr>
  </w:style>
  <w:style w:type="character" w:customStyle="1" w:styleId="CommentTextChar">
    <w:name w:val="Comment Text Char"/>
    <w:basedOn w:val="DefaultParagraphFont"/>
    <w:link w:val="CommentText"/>
    <w:uiPriority w:val="99"/>
    <w:rsid w:val="00531236"/>
    <w:rPr>
      <w:sz w:val="20"/>
      <w:szCs w:val="20"/>
    </w:rPr>
  </w:style>
  <w:style w:type="paragraph" w:styleId="CommentSubject">
    <w:name w:val="annotation subject"/>
    <w:basedOn w:val="CommentText"/>
    <w:next w:val="CommentText"/>
    <w:link w:val="CommentSubjectChar"/>
    <w:uiPriority w:val="99"/>
    <w:semiHidden/>
    <w:unhideWhenUsed/>
    <w:rsid w:val="00531236"/>
    <w:rPr>
      <w:b/>
      <w:bCs/>
    </w:rPr>
  </w:style>
  <w:style w:type="character" w:customStyle="1" w:styleId="CommentSubjectChar">
    <w:name w:val="Comment Subject Char"/>
    <w:basedOn w:val="CommentTextChar"/>
    <w:link w:val="CommentSubject"/>
    <w:uiPriority w:val="99"/>
    <w:semiHidden/>
    <w:rsid w:val="005312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3485">
      <w:bodyDiv w:val="1"/>
      <w:marLeft w:val="0"/>
      <w:marRight w:val="0"/>
      <w:marTop w:val="0"/>
      <w:marBottom w:val="0"/>
      <w:divBdr>
        <w:top w:val="none" w:sz="0" w:space="0" w:color="auto"/>
        <w:left w:val="none" w:sz="0" w:space="0" w:color="auto"/>
        <w:bottom w:val="none" w:sz="0" w:space="0" w:color="auto"/>
        <w:right w:val="none" w:sz="0" w:space="0" w:color="auto"/>
      </w:divBdr>
    </w:div>
    <w:div w:id="484468703">
      <w:bodyDiv w:val="1"/>
      <w:marLeft w:val="0"/>
      <w:marRight w:val="0"/>
      <w:marTop w:val="0"/>
      <w:marBottom w:val="0"/>
      <w:divBdr>
        <w:top w:val="none" w:sz="0" w:space="0" w:color="auto"/>
        <w:left w:val="none" w:sz="0" w:space="0" w:color="auto"/>
        <w:bottom w:val="none" w:sz="0" w:space="0" w:color="auto"/>
        <w:right w:val="none" w:sz="0" w:space="0" w:color="auto"/>
      </w:divBdr>
    </w:div>
    <w:div w:id="679164687">
      <w:bodyDiv w:val="1"/>
      <w:marLeft w:val="0"/>
      <w:marRight w:val="0"/>
      <w:marTop w:val="0"/>
      <w:marBottom w:val="0"/>
      <w:divBdr>
        <w:top w:val="none" w:sz="0" w:space="0" w:color="auto"/>
        <w:left w:val="none" w:sz="0" w:space="0" w:color="auto"/>
        <w:bottom w:val="none" w:sz="0" w:space="0" w:color="auto"/>
        <w:right w:val="none" w:sz="0" w:space="0" w:color="auto"/>
      </w:divBdr>
    </w:div>
    <w:div w:id="895966206">
      <w:bodyDiv w:val="1"/>
      <w:marLeft w:val="0"/>
      <w:marRight w:val="0"/>
      <w:marTop w:val="0"/>
      <w:marBottom w:val="0"/>
      <w:divBdr>
        <w:top w:val="none" w:sz="0" w:space="0" w:color="auto"/>
        <w:left w:val="none" w:sz="0" w:space="0" w:color="auto"/>
        <w:bottom w:val="none" w:sz="0" w:space="0" w:color="auto"/>
        <w:right w:val="none" w:sz="0" w:space="0" w:color="auto"/>
      </w:divBdr>
    </w:div>
    <w:div w:id="1848321251">
      <w:bodyDiv w:val="1"/>
      <w:marLeft w:val="0"/>
      <w:marRight w:val="0"/>
      <w:marTop w:val="0"/>
      <w:marBottom w:val="0"/>
      <w:divBdr>
        <w:top w:val="none" w:sz="0" w:space="0" w:color="auto"/>
        <w:left w:val="none" w:sz="0" w:space="0" w:color="auto"/>
        <w:bottom w:val="none" w:sz="0" w:space="0" w:color="auto"/>
        <w:right w:val="none" w:sz="0" w:space="0" w:color="auto"/>
      </w:divBdr>
    </w:div>
    <w:div w:id="2017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net.colart.com/en/people/employee-assitanc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C953-508E-4C65-9325-9B11DC0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Sharifa Jordan</cp:lastModifiedBy>
  <cp:revision>10</cp:revision>
  <cp:lastPrinted>2025-06-10T09:42:00Z</cp:lastPrinted>
  <dcterms:created xsi:type="dcterms:W3CDTF">2025-02-06T10:13:00Z</dcterms:created>
  <dcterms:modified xsi:type="dcterms:W3CDTF">2025-06-10T09:43:00Z</dcterms:modified>
</cp:coreProperties>
</file>